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2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2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>
        <w:rPr>
          <w:rFonts w:ascii="Times New Roman" w:hAnsi="Times New Roman"/>
          <w:sz w:val="28"/>
          <w:szCs w:val="28"/>
        </w:rPr>
        <w:t xml:space="preserve">назначаемых </w:t>
      </w:r>
      <w:r>
        <w:rPr>
          <w:rFonts w:ascii="Times New Roman" w:hAnsi="Times New Roman"/>
          <w:sz w:val="28"/>
          <w:szCs w:val="28"/>
        </w:rPr>
        <w:t xml:space="preserve">по средствам выдачи машиночитаемой доверенности перечню ролей доступа, настроенных для работы </w:t>
      </w:r>
      <w:r>
        <w:rPr>
          <w:rFonts w:ascii="Times New Roman" w:hAnsi="Times New Roman"/>
          <w:sz w:val="28"/>
          <w:szCs w:val="28"/>
        </w:rPr>
        <w:t xml:space="preserve">в подсистеме </w:t>
      </w:r>
      <w:r>
        <w:rPr>
          <w:rFonts w:ascii="Times New Roman" w:hAnsi="Times New Roman"/>
          <w:sz w:val="28"/>
          <w:szCs w:val="28"/>
        </w:rPr>
        <w:t xml:space="preserve">ведения нормативной справочной информации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124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1124"/>
      </w:pPr>
      <w:r/>
      <w:r/>
    </w:p>
    <w:tbl>
      <w:tblPr>
        <w:tblW w:w="13764" w:type="dxa"/>
        <w:jc w:val="center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20"/>
        <w:gridCol w:w="39"/>
        <w:gridCol w:w="2923"/>
        <w:gridCol w:w="6"/>
        <w:gridCol w:w="4780"/>
        <w:gridCol w:w="46"/>
        <w:gridCol w:w="1559"/>
        <w:gridCol w:w="38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5"/>
        </w:trPr>
        <w:tc>
          <w:tcPr>
            <w:gridSpan w:val="8"/>
            <w:shd w:val="clear" w:color="auto" w:fill="f2f2f2"/>
            <w:tcW w:w="13764" w:type="dxa"/>
            <w:vAlign w:val="top"/>
            <w:textDirection w:val="lrTb"/>
            <w:noWrap w:val="false"/>
          </w:tcPr>
          <w:p>
            <w:pPr>
              <w:pStyle w:val="1124"/>
              <w:jc w:val="center"/>
              <w:tabs>
                <w:tab w:val="left" w:pos="1065" w:leader="none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Для клиентов</w:t>
            </w:r>
            <w:r>
              <w:rPr>
                <w:rStyle w:val="1139"/>
                <w:rFonts w:ascii="Times New Roman" w:hAnsi="Times New Roman"/>
                <w:b/>
                <w:spacing w:val="6"/>
                <w:sz w:val="24"/>
                <w:szCs w:val="24"/>
              </w:rPr>
              <w:footnoteReference w:id="2"/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shd w:val="clear" w:color="auto" w:fill="f2f2f2"/>
            <w:tcW w:w="559" w:type="dxa"/>
            <w:vAlign w:val="top"/>
            <w:textDirection w:val="lrTb"/>
            <w:noWrap w:val="false"/>
          </w:tcPr>
          <w:p>
            <w:pPr>
              <w:pStyle w:val="1124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124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2f2f2"/>
            <w:tcW w:w="2923" w:type="dxa"/>
            <w:vAlign w:val="top"/>
            <w:textDirection w:val="lrTb"/>
            <w:noWrap w:val="false"/>
          </w:tcPr>
          <w:p>
            <w:pPr>
              <w:pStyle w:val="1124"/>
              <w:jc w:val="center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полномочия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f2f2f2"/>
            <w:tcW w:w="4786" w:type="dxa"/>
            <w:vAlign w:val="top"/>
            <w:textDirection w:val="lrTb"/>
            <w:noWrap w:val="false"/>
          </w:tcPr>
          <w:p>
            <w:pPr>
              <w:pStyle w:val="1124"/>
              <w:jc w:val="center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полномочия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f2f2f2"/>
            <w:tcW w:w="1605" w:type="dxa"/>
            <w:vAlign w:val="top"/>
            <w:textDirection w:val="lrTb"/>
            <w:noWrap w:val="false"/>
          </w:tcPr>
          <w:p>
            <w:pPr>
              <w:pStyle w:val="1124"/>
              <w:jc w:val="center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Уровень подписи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f2f2f2"/>
            <w:tcW w:w="3892" w:type="dxa"/>
            <w:vAlign w:val="top"/>
            <w:textDirection w:val="lrTb"/>
            <w:noWrap w:val="false"/>
          </w:tcPr>
          <w:p>
            <w:pPr>
              <w:pStyle w:val="1124"/>
              <w:jc w:val="center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Роли связанные с полномочием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92"/>
        </w:trPr>
        <w:tc>
          <w:tcPr>
            <w:gridSpan w:val="8"/>
            <w:tcW w:w="13764" w:type="dxa"/>
            <w:vAlign w:val="top"/>
            <w:textDirection w:val="lrTb"/>
            <w:noWrap w:val="false"/>
          </w:tcPr>
          <w:p>
            <w:pPr>
              <w:pStyle w:val="1124"/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pStyle w:val="112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Подсистема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ведения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FK9800_GIISEB_EB10049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 Подписание документов на открытие, переоформление, закрытие лицевых счетов (раздела на лицевом счете)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1-я Подпись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ЛС.008 Утверждающий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78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ЛС.006 Исполнитель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FK9800_GIISEB_EB20050</w:t>
            </w:r>
            <w:r>
              <w:rPr>
                <w:rStyle w:val="1109"/>
                <w:rFonts w:ascii="Times New Roman" w:hAnsi="Times New Roman"/>
                <w:sz w:val="24"/>
                <w:szCs w:val="24"/>
                <w:lang w:eastAsia="ru-RU"/>
              </w:rPr>
              <w:footnoteReference w:id="3"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 Подписание документов на открытие, переоформление, закрытие лицевых счетов (раздела на лицевом счете)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2-я Подпись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ЛС.007 Согласующий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78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ЛС.006 Исполнитель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9"/>
        </w:trPr>
        <w:tc>
          <w:tcPr>
            <w:gridSpan w:val="2"/>
            <w:tcW w:w="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 w:clear="all"/>
              <w:t xml:space="preserve">3.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FK9800_GIISEB_EB10007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Подписание документов на открытие (изменение реквизитов, закрытие) казначейских счетов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1-я Подпись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1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КС.007 Утверждающий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/>
        </w:trPr>
        <w:tc>
          <w:tcPr>
            <w:gridSpan w:val="2"/>
            <w:tcW w:w="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КС.005 Исполнитель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9"/>
        </w:trPr>
        <w:tc>
          <w:tcPr>
            <w:gridSpan w:val="2"/>
            <w:tcW w:w="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FK9800_GIISEB_EB20008</w:t>
            </w:r>
            <w:r>
              <w:rPr>
                <w:rStyle w:val="1109"/>
                <w:rFonts w:ascii="Times New Roman" w:hAnsi="Times New Roman"/>
                <w:sz w:val="24"/>
                <w:szCs w:val="24"/>
                <w:lang w:eastAsia="ru-RU"/>
              </w:rPr>
              <w:footnoteReference w:id="4"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Подписание документов на открытие (изменение реквизитов, закрытие) казначейских счетов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2-я Подпись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КС.006 Бухгалтер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/>
        </w:trPr>
        <w:tc>
          <w:tcPr>
            <w:gridSpan w:val="2"/>
            <w:tcW w:w="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78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КС.005 Исполнитель клиент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59"/>
        </w:trPr>
        <w:tc>
          <w:tcPr>
            <w:gridSpan w:val="2"/>
            <w:tcW w:w="559" w:type="dxa"/>
            <w:vAlign w:val="top"/>
            <w:textDirection w:val="lrTb"/>
            <w:noWrap w:val="false"/>
          </w:tcPr>
          <w:p>
            <w:pPr>
              <w:pStyle w:val="1124"/>
              <w:spacing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23" w:type="dxa"/>
            <w:vAlign w:val="top"/>
            <w:textDirection w:val="lrTb"/>
            <w:noWrap w:val="false"/>
          </w:tcPr>
          <w:p>
            <w:pPr>
              <w:pStyle w:val="1124"/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FK9800_GIISEB_EB10053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786" w:type="dxa"/>
            <w:vAlign w:val="top"/>
            <w:textDirection w:val="lrTb"/>
            <w:noWrap w:val="false"/>
          </w:tcPr>
          <w:p>
            <w:pPr>
              <w:pStyle w:val="11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Резервировать счета типа л/с «71» в справочнике «Книга регистрации лицевых счетов» для вновь включающихся (Саморегистрация)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1605" w:type="dxa"/>
            <w:vAlign w:val="center"/>
            <w:textDirection w:val="lrTb"/>
            <w:noWrap w:val="false"/>
          </w:tcPr>
          <w:p>
            <w:pPr>
              <w:pStyle w:val="1124"/>
              <w:spacing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1-я Подпись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textDirection w:val="lrTb"/>
            <w:noWrap w:val="false"/>
          </w:tcPr>
          <w:p>
            <w:pPr>
              <w:pStyle w:val="11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112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НСИ.001. Саморегистрация. Исполнитель ЛС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gridSpan w:val="8"/>
            <w:tcW w:w="13764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Для сотрудников Федерального казначейства, Межрегионального операционного управления Федерального казначейства,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Межрегионального управления Федерального казначейства по централизованной обработке данных</w:t>
            </w:r>
            <w:bookmarkStart w:id="0" w:name="undefined"/>
            <w:r>
              <w:rPr>
                <w:color w:val="000000" w:themeColor="text1"/>
              </w:rPr>
            </w:r>
            <w:bookmarkEnd w:id="0"/>
            <w:r>
              <w:rPr>
                <w:rFonts w:ascii="Times New Roman" w:hAnsi="Times New Roman"/>
                <w:b/>
                <w:color w:val="000000" w:themeColor="text1"/>
              </w:rPr>
              <w:t xml:space="preserve">,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территориальных органов Федерального казначейства, федерального казенного учреждения «Центр по обеспечению деятельности Казначейства России»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, 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Межрегиональных управлений Федерального казначейст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в</w:t>
            </w:r>
            <w:r>
              <w:rPr>
                <w:rFonts w:ascii="Times New Roman" w:hAnsi="Times New Roman"/>
                <w:b/>
                <w:bCs/>
                <w:color w:val="000000" w:themeColor="text1"/>
              </w:rPr>
              <w:t xml:space="preserve">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tcW w:w="520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W w:w="2968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FK9800_GIISEB_EB10005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825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left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(уполномоченное лицо). Подписание документов на открытие (изменение реквизитов, закрытие) казначейских счетов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1-я Подпись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892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left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КС.010 Утверждающий ОперО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tcW w:w="520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W w:w="2968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825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left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КС.008 Исполнитель ОперО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tcW w:w="520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W w:w="2968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FK9800_GIISEB_EB20006</w:t>
            </w:r>
            <w:r>
              <w:rPr>
                <w:rStyle w:val="1109"/>
                <w:rFonts w:ascii="Times New Roman" w:hAnsi="Times New Roman"/>
                <w:sz w:val="24"/>
                <w:szCs w:val="24"/>
                <w:lang w:eastAsia="ru-RU"/>
              </w:rPr>
              <w:footnoteReference w:id="5"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tcW w:w="4825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left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 Подписание документов на открытие (изменение реквизитов, закрытие) казначейских счетов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2-я Подпись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left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КС.009 Утверждающий ОперО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572"/>
        </w:trPr>
        <w:tc>
          <w:tcPr>
            <w:tcW w:w="520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3"/>
            <w:tcW w:w="2968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W w:w="4825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92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КС.008 Исполнитель ОперО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tbl>
      <w:tblPr>
        <w:tblW w:w="13736" w:type="dxa"/>
        <w:jc w:val="center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8"/>
        <w:gridCol w:w="2976"/>
        <w:gridCol w:w="4805"/>
        <w:gridCol w:w="1559"/>
        <w:gridCol w:w="3878"/>
      </w:tblGrid>
      <w:tr>
        <w:tblPrEx/>
        <w:trPr/>
        <w:tc>
          <w:tcPr>
            <w:tcW w:w="518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6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FK9800_GIISEB_EB10049_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P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O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I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B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4805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Руководитель (уполномоченное лицо).</w:t>
              <w:br/>
              <w:t xml:space="preserve">Подписание документов на открытие, переоформление, закрытие лицевых счетов (раздела на лицевом счете)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1-я Подпись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3878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ЛС.008 Утверждающий клиент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05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78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ЛС.006 Исполнитель клиент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6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FK9800_GIISEB_EB20050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_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P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O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I</w:t>
            </w:r>
            <w:r>
              <w:rPr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t xml:space="preserve">B</w:t>
            </w:r>
            <w:r>
              <w:rPr>
                <w:rStyle w:val="1109"/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footnoteReference w:id="6"/>
            </w:r>
            <w:r>
              <w:rPr>
                <w:rStyle w:val="1109"/>
                <w:rFonts w:ascii="Times New Roman" w:hAnsi="Times New Roman"/>
                <w:color w:val="c00000"/>
                <w:sz w:val="24"/>
                <w:szCs w:val="24"/>
                <w:lang w:eastAsia="ru-RU"/>
              </w:rPr>
              <w:footnoteReference w:id="7"/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4805" w:type="dxa"/>
            <w:vAlign w:val="top"/>
            <w:vMerge w:val="restart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Главный бухгалтер (уполномоченное лицо).</w:t>
              <w:br/>
              <w:t xml:space="preserve">Подписание документов на открытие, переоформление, закрытие лицевых счетов (раздела на лицевом счете)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2-я Подпись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  <w:tc>
          <w:tcPr>
            <w:tcW w:w="3878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ЛС.007 Согласующий клиент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518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6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05" w:type="dxa"/>
            <w:vAlign w:val="top"/>
            <w:vMerge w:val="continue"/>
            <w:textDirection w:val="lrTb"/>
            <w:noWrap w:val="false"/>
          </w:tcPr>
          <w:p>
            <w:pPr>
              <w:pStyle w:val="1124"/>
              <w:spacing w:before="240" w:after="240"/>
              <w:tabs>
                <w:tab w:val="left" w:pos="1065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pStyle w:val="1124"/>
              <w:jc w:val="center"/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878" w:type="dxa"/>
            <w:vAlign w:val="top"/>
            <w:textDirection w:val="lrTb"/>
            <w:noWrap w:val="false"/>
          </w:tcPr>
          <w:p>
            <w:pPr>
              <w:pStyle w:val="1124"/>
              <w:spacing w:before="240" w:after="240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ЛС.006 Исполнитель клиент</w:t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  <w:r>
              <w:rPr>
                <w:rFonts w:ascii="Times New Roman" w:hAnsi="Times New Roman"/>
                <w:color w:val="c00000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9"/>
      <w:headerReference w:type="first" r:id="rId10"/>
      <w:footnotePr/>
      <w:endnotePr/>
      <w:type w:val="nextPage"/>
      <w:pgSz w:w="16838" w:h="11906" w:orient="landscape"/>
      <w:pgMar w:top="1418" w:right="1134" w:bottom="851" w:left="993" w:header="284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124"/>
        <w:ind w:right="139"/>
        <w:jc w:val="both"/>
        <w:rPr>
          <w:rFonts w:ascii="Times New Roman" w:hAnsi="Times New Roman"/>
          <w:sz w:val="20"/>
          <w:szCs w:val="20"/>
        </w:rPr>
      </w:pPr>
      <w:r>
        <w:rPr>
          <w:rStyle w:val="1139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Под клиентом понимается: </w:t>
      </w:r>
      <w:r>
        <w:rPr>
          <w:rFonts w:ascii="Times New Roman" w:hAnsi="Times New Roman"/>
          <w:sz w:val="20"/>
          <w:szCs w:val="20"/>
        </w:rPr>
        <w:t xml:space="preserve">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открытия и ведения лицевых счетов территориальными органами</w:t>
      </w:r>
      <w:r>
        <w:rPr>
          <w:rFonts w:ascii="Times New Roman" w:hAnsi="Times New Roman"/>
          <w:sz w:val="20"/>
          <w:szCs w:val="20"/>
        </w:rPr>
        <w:t xml:space="preserve"> Ф</w:t>
      </w:r>
      <w:r>
        <w:rPr>
          <w:rFonts w:ascii="Times New Roman" w:hAnsi="Times New Roman"/>
          <w:sz w:val="20"/>
          <w:szCs w:val="20"/>
        </w:rPr>
        <w:t xml:space="preserve">едерального казначейства открываются лицевые счета в органе Федерального казначейства</w:t>
      </w:r>
      <w:r>
        <w:rPr>
          <w:rFonts w:ascii="Times New Roman" w:hAnsi="Times New Roman"/>
          <w:sz w:val="20"/>
          <w:szCs w:val="20"/>
        </w:rPr>
        <w:t xml:space="preserve">.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lang w:val="ru-RU"/>
        </w:rPr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</w:footnote>
  <w:footnote w:id="3"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В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случае отсутствия у организации главного бухгалтера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полномочие дополнительно н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азначается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Руководителю (уполномоченному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лицу).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</w:footnote>
  <w:footnote w:id="4"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Style w:val="1109"/>
        </w:rPr>
        <w:footnoteRef/>
      </w:r>
      <w:r>
        <w:t xml:space="preserve">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В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случае отсутствия у организации главного бухгалтера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полномочие дополнительно н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азначается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Руководителю (уполномоченному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лицу).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</w:footnote>
  <w:footnote w:id="5"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Style w:val="1109"/>
        </w:rPr>
        <w:footnoteRef/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В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случае отсутствия у организации главного бухгалтера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полномочие дополнительно н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азначается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Руководителю (уполномоченному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лицу).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pStyle w:val="1107"/>
      </w:pPr>
      <w:r/>
      <w:r/>
    </w:p>
  </w:footnote>
  <w:footnote w:id="6">
    <w:p>
      <w:pPr>
        <w:pStyle w:val="1107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  <w:footnoteRef/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highlight w:val="none"/>
        </w:rPr>
        <w:t xml:space="preserve">Для использования до реализации отдельного полномочия ТОФК как клиента.</w:t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</w:r>
    </w:p>
    <w:p>
      <w:pPr>
        <w:pStyle w:val="1107"/>
        <w:rPr>
          <w:rFonts w:ascii="Times New Roman" w:hAnsi="Times New Roman" w:eastAsia="Times New Roman" w:cs="Times New Roman"/>
          <w:b/>
          <w:bCs/>
          <w:color w:val="17365c" w:themeColor="text2" w:themeShade="BF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</w:rPr>
        <w:t xml:space="preserve">Не назначать без необходимости. </w:t>
        <w:br/>
      </w:r>
      <w:r>
        <w:rPr>
          <w:rFonts w:ascii="Times New Roman" w:hAnsi="Times New Roman" w:eastAsia="Times New Roman" w:cs="Times New Roman"/>
          <w:b w:val="0"/>
          <w:bCs w:val="0"/>
          <w:color w:val="c00000"/>
          <w:sz w:val="28"/>
          <w:szCs w:val="28"/>
        </w:rPr>
        <w:t xml:space="preserve">Полномочие 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u w:val="single"/>
        </w:rPr>
        <w:t xml:space="preserve">исключительно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u w:val="single"/>
        </w:rPr>
        <w:t xml:space="preserve"> в целях 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u w:val="single"/>
        </w:rPr>
        <w:t xml:space="preserve">открытия лицевого</w:t>
      </w:r>
      <w:r>
        <w:rPr>
          <w:rFonts w:ascii="Times New Roman" w:hAnsi="Times New Roman" w:eastAsia="Times New Roman" w:cs="Times New Roman"/>
          <w:b/>
          <w:bCs/>
          <w:color w:val="c00000"/>
          <w:sz w:val="28"/>
          <w:szCs w:val="28"/>
          <w:u w:val="single"/>
        </w:rPr>
        <w:t xml:space="preserve"> счета самому ТОФК</w:t>
      </w:r>
      <w:r>
        <w:rPr>
          <w:rFonts w:ascii="Times New Roman" w:hAnsi="Times New Roman" w:eastAsia="Times New Roman" w:cs="Times New Roman"/>
          <w:b w:val="0"/>
          <w:bCs w:val="0"/>
          <w:color w:val="c00000"/>
          <w:sz w:val="28"/>
          <w:szCs w:val="28"/>
        </w:rPr>
        <w:t xml:space="preserve">(как клиент) и только сотруднику с отсутствием ролей НСИ в ТОФК: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ЛС.001 Исполнитель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Л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С.002 Согласующий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ЛС.003 Утверждающий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ЛС.005 Чтение всех документов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ЛС.009 Исполнитель ЦС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ЛС.010 Согласующий ЦС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, 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ЛС.011 Утверждающий ЦС</w:t>
      </w:r>
      <w:r>
        <w:rPr>
          <w:rFonts w:ascii="Times New Roman" w:hAnsi="Times New Roman"/>
          <w:color w:val="17365c" w:themeColor="text2" w:themeShade="BF"/>
          <w:spacing w:val="6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17365c" w:themeColor="text2" w:themeShade="BF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17365c" w:themeColor="text2" w:themeShade="BF"/>
          <w:sz w:val="28"/>
          <w:szCs w:val="28"/>
        </w:rPr>
      </w:r>
    </w:p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Fonts w:ascii="Times New Roman" w:hAnsi="Times New Roman"/>
          <w:sz w:val="20"/>
          <w:szCs w:val="20"/>
          <w:highlight w:val="none"/>
          <w:lang w:val="ru-RU" w:eastAsia="en-US"/>
        </w:rPr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</w:footnote>
  <w:footnote w:id="7">
    <w:p>
      <w:pPr>
        <w:ind w:right="139"/>
        <w:jc w:val="both"/>
        <w:rPr>
          <w:rFonts w:ascii="Times New Roman" w:hAnsi="Times New Roman"/>
          <w:sz w:val="20"/>
          <w:szCs w:val="20"/>
          <w14:ligatures w14:val="none"/>
        </w:rPr>
      </w:pPr>
      <w:r>
        <w:rPr>
          <w:rStyle w:val="1109"/>
        </w:rPr>
        <w:footnoteRef/>
      </w:r>
      <w:r>
        <w:t xml:space="preserve">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В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случае отсутствия у организации главного бухгалтера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полномочие дополнительно н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азначается 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Руководителю (уполномоченному</w:t>
      </w:r>
      <w:r>
        <w:rPr>
          <w:rFonts w:ascii="Times New Roman" w:hAnsi="Times New Roman"/>
          <w:sz w:val="20"/>
          <w:szCs w:val="20"/>
          <w:lang w:val="ru-RU" w:eastAsia="en-US"/>
        </w:rPr>
        <w:t xml:space="preserve"> лицу).</w:t>
      </w:r>
      <w:r>
        <w:rPr>
          <w:rFonts w:ascii="Times New Roman" w:hAnsi="Times New Roman"/>
          <w:sz w:val="20"/>
          <w:szCs w:val="20"/>
          <w14:ligatures w14:val="none"/>
        </w:rPr>
      </w:r>
      <w:r>
        <w:rPr>
          <w:rFonts w:ascii="Times New Roman" w:hAnsi="Times New Roman"/>
          <w:sz w:val="20"/>
          <w:szCs w:val="20"/>
          <w14:ligatures w14:val="none"/>
        </w:rPr>
      </w:r>
    </w:p>
    <w:p>
      <w:pPr>
        <w:pStyle w:val="1107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4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2</w:t>
    </w:r>
    <w:r>
      <w:fldChar w:fldCharType="end"/>
    </w:r>
    <w:r/>
  </w:p>
  <w:p>
    <w:pPr>
      <w:pStyle w:val="1145"/>
      <w:jc w:val="center"/>
      <w:rPr>
        <w:lang w:val="ru-RU"/>
      </w:rPr>
    </w:pPr>
    <w:r>
      <w:rPr>
        <w:lang w:val="ru-RU"/>
      </w:rPr>
    </w:r>
    <w:r>
      <w:rPr>
        <w:lang w:val="ru-RU"/>
      </w:rPr>
    </w:r>
    <w:r>
      <w:rPr>
        <w:lang w:val="ru-RU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4"/>
      <w:ind w:left="5387"/>
      <w:jc w:val="center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/>
    <w:bookmarkStart w:id="0" w:name="_Toc322613947"/>
    <w:r/>
    <w:bookmarkEnd w:id="0"/>
    <w:r/>
    <w:bookmarkStart w:id="1" w:name="_Toc322619445"/>
    <w:r/>
    <w:bookmarkEnd w:id="1"/>
    <w:r/>
    <w:bookmarkStart w:id="2" w:name="_Toc372901644"/>
    <w:r/>
    <w:bookmarkEnd w:id="2"/>
    <w:r/>
    <w:bookmarkStart w:id="3" w:name="_Toc374702077"/>
    <w:r/>
    <w:bookmarkEnd w:id="3"/>
    <w:r/>
    <w:bookmarkStart w:id="4" w:name="_Toc372901645"/>
    <w:r/>
    <w:bookmarkEnd w:id="4"/>
    <w:r/>
    <w:bookmarkStart w:id="5" w:name="_Toc374702078"/>
    <w:r/>
    <w:bookmarkEnd w:id="5"/>
    <w:r/>
    <w:bookmarkStart w:id="6" w:name="_Toc372901646"/>
    <w:r/>
    <w:bookmarkEnd w:id="6"/>
    <w:r/>
    <w:bookmarkStart w:id="7" w:name="_Toc374702079"/>
    <w:r/>
    <w:bookmarkEnd w:id="7"/>
    <w:r/>
    <w:bookmarkStart w:id="8" w:name="_Toc372901647"/>
    <w:r/>
    <w:bookmarkEnd w:id="8"/>
    <w:r/>
    <w:bookmarkStart w:id="9" w:name="_Toc374702080"/>
    <w:r/>
    <w:bookmarkEnd w:id="9"/>
    <w:r/>
    <w:bookmarkStart w:id="10" w:name="_Toc372901648"/>
    <w:r/>
    <w:bookmarkEnd w:id="10"/>
    <w:r>
      <w:rPr>
        <w:rFonts w:ascii="Times New Roman" w:hAnsi="Times New Roman" w:cs="Times New Roman"/>
        <w:sz w:val="28"/>
        <w:szCs w:val="28"/>
        <w:lang w:eastAsia="en-US"/>
      </w:rPr>
    </w:r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154"/>
      <w:ind w:right="139"/>
      <w:jc w:val="right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Полномочия для МЧД:</w:t>
    </w:r>
    <w:r>
      <w:rPr>
        <w:rFonts w:ascii="Times New Roman" w:hAnsi="Times New Roman" w:cs="Times New Roman"/>
        <w:sz w:val="28"/>
        <w:szCs w:val="28"/>
        <w:lang w:eastAsia="en-US"/>
      </w:rPr>
    </w:r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154"/>
      <w:ind w:left="5245" w:right="139"/>
      <w:jc w:val="right"/>
      <w:spacing w:line="276" w:lineRule="auto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 xml:space="preserve">Подсистема НСИ</w:t>
    </w:r>
    <w:r>
      <w:rPr>
        <w:rFonts w:ascii="Times New Roman" w:hAnsi="Times New Roman" w:cs="Times New Roman"/>
        <w:sz w:val="28"/>
        <w:szCs w:val="28"/>
        <w:lang w:eastAsia="en-US"/>
      </w:rPr>
      <w:t xml:space="preserve"> </w:t>
    </w:r>
    <w:r>
      <w:rPr>
        <w:rFonts w:ascii="Times New Roman" w:hAnsi="Times New Roman" w:cs="Times New Roman"/>
        <w:sz w:val="28"/>
        <w:szCs w:val="28"/>
        <w:lang w:eastAsia="en-US"/>
      </w:rPr>
    </w:r>
    <w:r>
      <w:rPr>
        <w:rFonts w:ascii="Times New Roman" w:hAnsi="Times New Roman" w:cs="Times New Roman"/>
        <w:sz w:val="28"/>
        <w:szCs w:val="28"/>
        <w:lang w:eastAsia="en-US"/>
      </w:rPr>
    </w:r>
  </w:p>
  <w:p>
    <w:pPr>
      <w:pStyle w:val="1145"/>
      <w:rPr>
        <w:lang w:val="ru-RU"/>
      </w:rPr>
    </w:pPr>
    <w:r>
      <w:rPr>
        <w:lang w:val="ru-RU"/>
      </w:rPr>
    </w:r>
    <w:r>
      <w:rPr>
        <w:lang w:val="ru-RU"/>
      </w:rPr>
    </w:r>
    <w:r>
      <w:rPr>
        <w:lang w:val="ru-RU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pStyle w:val="1168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abstractNum w:abstractNumId="10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pStyle w:val="1125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cs="Times New Roman"/>
      </w:rPr>
    </w:lvl>
    <w:lvl w:ilvl="1">
      <w:start w:val="1"/>
      <w:numFmt w:val="decimal"/>
      <w:pStyle w:val="1126"/>
      <w:isLgl w:val="false"/>
      <w:suff w:val="tab"/>
      <w:lvlText w:val="%1.%2."/>
      <w:lvlJc w:val="left"/>
      <w:pPr>
        <w:ind w:left="567" w:hanging="567"/>
        <w:tabs>
          <w:tab w:val="num" w:pos="567" w:leader="none"/>
        </w:tabs>
      </w:pPr>
      <w:rPr>
        <w:rFonts w:ascii="Times New Roman" w:hAnsi="Times New Roman" w:cs="Times New Roman"/>
        <w:b/>
        <w:i w:val="0"/>
        <w:sz w:val="32"/>
        <w:szCs w:val="32"/>
      </w:rPr>
    </w:lvl>
    <w:lvl w:ilvl="2">
      <w:start w:val="1"/>
      <w:numFmt w:val="decimal"/>
      <w:pStyle w:val="1127"/>
      <w:isLgl w:val="false"/>
      <w:suff w:val="tab"/>
      <w:lvlText w:val="%1.%2.%3."/>
      <w:lvlJc w:val="left"/>
      <w:pPr>
        <w:ind w:left="964" w:hanging="964"/>
        <w:tabs>
          <w:tab w:val="num" w:pos="964" w:leader="none"/>
        </w:tabs>
      </w:pPr>
      <w:rPr>
        <w:rFonts w:ascii="Times New Roman" w:hAnsi="Times New Roman" w:cs="Times New Roman"/>
        <w:b/>
        <w:i w:val="0"/>
        <w:sz w:val="28"/>
        <w:szCs w:val="28"/>
      </w:rPr>
    </w:lvl>
    <w:lvl w:ilvl="3">
      <w:start w:val="1"/>
      <w:numFmt w:val="decimal"/>
      <w:pStyle w:val="1128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ascii="Times New Roman" w:hAnsi="Times New Roman" w:cs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4" w:hanging="1008"/>
        <w:tabs>
          <w:tab w:val="num" w:pos="724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  <w:rPr>
        <w:rFonts w:cs="Times New Roman"/>
      </w:rPr>
    </w:lvl>
  </w:abstractNum>
  <w:abstractNum w:abstractNumId="13">
    <w:multiLevelType w:val="hybridMultilevel"/>
    <w:lvl w:ilvl="0">
      <w:start w:val="0"/>
      <w:numFmt w:val="decimal"/>
      <w:pStyle w:val="1176"/>
      <w:isLgl w:val="false"/>
      <w:suff w:val="tab"/>
      <w:lvlText w:val=""/>
      <w:lvlJc w:val="left"/>
      <w:pPr>
        <w:tabs>
          <w:tab w:val="num" w:pos="36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21"/>
  </w:num>
  <w:num w:numId="5">
    <w:abstractNumId w:val="0"/>
  </w:num>
  <w:num w:numId="6">
    <w:abstractNumId w:val="2"/>
  </w:num>
  <w:num w:numId="7">
    <w:abstractNumId w:val="6"/>
  </w:num>
  <w:num w:numId="8">
    <w:abstractNumId w:val="16"/>
  </w:num>
  <w:num w:numId="9">
    <w:abstractNumId w:val="7"/>
  </w:num>
  <w:num w:numId="10">
    <w:abstractNumId w:val="8"/>
  </w:num>
  <w:num w:numId="11">
    <w:abstractNumId w:val="14"/>
  </w:num>
  <w:num w:numId="12">
    <w:abstractNumId w:val="10"/>
  </w:num>
  <w:num w:numId="13">
    <w:abstractNumId w:val="1"/>
  </w:num>
  <w:num w:numId="14">
    <w:abstractNumId w:val="4"/>
  </w:num>
  <w:num w:numId="15">
    <w:abstractNumId w:val="9"/>
  </w:num>
  <w:num w:numId="16">
    <w:abstractNumId w:val="23"/>
  </w:num>
  <w:num w:numId="17">
    <w:abstractNumId w:val="20"/>
  </w:num>
  <w:num w:numId="18">
    <w:abstractNumId w:val="19"/>
  </w:num>
  <w:num w:numId="19">
    <w:abstractNumId w:val="18"/>
  </w:num>
  <w:num w:numId="20">
    <w:abstractNumId w:val="3"/>
  </w:num>
  <w:num w:numId="21">
    <w:abstractNumId w:val="17"/>
  </w:num>
  <w:num w:numId="22">
    <w:abstractNumId w:val="11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46">
    <w:name w:val="Heading 1"/>
    <w:basedOn w:val="1124"/>
    <w:next w:val="1124"/>
    <w:link w:val="94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947">
    <w:name w:val="Heading 1 Char"/>
    <w:link w:val="946"/>
    <w:uiPriority w:val="9"/>
    <w:rPr>
      <w:rFonts w:ascii="Arial" w:hAnsi="Arial" w:eastAsia="Arial" w:cs="Arial"/>
      <w:sz w:val="40"/>
      <w:szCs w:val="40"/>
    </w:rPr>
  </w:style>
  <w:style w:type="paragraph" w:styleId="948">
    <w:name w:val="Heading 2"/>
    <w:basedOn w:val="1124"/>
    <w:next w:val="1124"/>
    <w:link w:val="94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949">
    <w:name w:val="Heading 2 Char"/>
    <w:link w:val="948"/>
    <w:uiPriority w:val="9"/>
    <w:rPr>
      <w:rFonts w:ascii="Arial" w:hAnsi="Arial" w:eastAsia="Arial" w:cs="Arial"/>
      <w:sz w:val="34"/>
    </w:rPr>
  </w:style>
  <w:style w:type="paragraph" w:styleId="950">
    <w:name w:val="Heading 3"/>
    <w:basedOn w:val="1124"/>
    <w:next w:val="1124"/>
    <w:link w:val="95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951">
    <w:name w:val="Heading 3 Char"/>
    <w:link w:val="950"/>
    <w:uiPriority w:val="9"/>
    <w:rPr>
      <w:rFonts w:ascii="Arial" w:hAnsi="Arial" w:eastAsia="Arial" w:cs="Arial"/>
      <w:sz w:val="30"/>
      <w:szCs w:val="30"/>
    </w:rPr>
  </w:style>
  <w:style w:type="paragraph" w:styleId="952">
    <w:name w:val="Heading 4"/>
    <w:basedOn w:val="1124"/>
    <w:next w:val="1124"/>
    <w:link w:val="95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953">
    <w:name w:val="Heading 4 Char"/>
    <w:link w:val="952"/>
    <w:uiPriority w:val="9"/>
    <w:rPr>
      <w:rFonts w:ascii="Arial" w:hAnsi="Arial" w:eastAsia="Arial" w:cs="Arial"/>
      <w:b/>
      <w:bCs/>
      <w:sz w:val="26"/>
      <w:szCs w:val="26"/>
    </w:rPr>
  </w:style>
  <w:style w:type="paragraph" w:styleId="954">
    <w:name w:val="Heading 5"/>
    <w:basedOn w:val="1124"/>
    <w:next w:val="1124"/>
    <w:link w:val="95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955">
    <w:name w:val="Heading 5 Char"/>
    <w:link w:val="954"/>
    <w:uiPriority w:val="9"/>
    <w:rPr>
      <w:rFonts w:ascii="Arial" w:hAnsi="Arial" w:eastAsia="Arial" w:cs="Arial"/>
      <w:b/>
      <w:bCs/>
      <w:sz w:val="24"/>
      <w:szCs w:val="24"/>
    </w:rPr>
  </w:style>
  <w:style w:type="paragraph" w:styleId="956">
    <w:name w:val="Heading 6"/>
    <w:basedOn w:val="1124"/>
    <w:next w:val="1124"/>
    <w:link w:val="95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957">
    <w:name w:val="Heading 6 Char"/>
    <w:link w:val="956"/>
    <w:uiPriority w:val="9"/>
    <w:rPr>
      <w:rFonts w:ascii="Arial" w:hAnsi="Arial" w:eastAsia="Arial" w:cs="Arial"/>
      <w:b/>
      <w:bCs/>
      <w:sz w:val="22"/>
      <w:szCs w:val="22"/>
    </w:rPr>
  </w:style>
  <w:style w:type="paragraph" w:styleId="958">
    <w:name w:val="Heading 7"/>
    <w:basedOn w:val="1124"/>
    <w:next w:val="1124"/>
    <w:link w:val="9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59">
    <w:name w:val="Heading 7 Char"/>
    <w:link w:val="9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960">
    <w:name w:val="Heading 8"/>
    <w:basedOn w:val="1124"/>
    <w:next w:val="1124"/>
    <w:link w:val="96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961">
    <w:name w:val="Heading 8 Char"/>
    <w:link w:val="960"/>
    <w:uiPriority w:val="9"/>
    <w:rPr>
      <w:rFonts w:ascii="Arial" w:hAnsi="Arial" w:eastAsia="Arial" w:cs="Arial"/>
      <w:i/>
      <w:iCs/>
      <w:sz w:val="22"/>
      <w:szCs w:val="22"/>
    </w:rPr>
  </w:style>
  <w:style w:type="paragraph" w:styleId="962">
    <w:name w:val="Heading 9"/>
    <w:basedOn w:val="1124"/>
    <w:next w:val="1124"/>
    <w:link w:val="9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63">
    <w:name w:val="Heading 9 Char"/>
    <w:link w:val="962"/>
    <w:uiPriority w:val="9"/>
    <w:rPr>
      <w:rFonts w:ascii="Arial" w:hAnsi="Arial" w:eastAsia="Arial" w:cs="Arial"/>
      <w:i/>
      <w:iCs/>
      <w:sz w:val="21"/>
      <w:szCs w:val="21"/>
    </w:rPr>
  </w:style>
  <w:style w:type="paragraph" w:styleId="964">
    <w:name w:val="List Paragraph"/>
    <w:basedOn w:val="1124"/>
    <w:uiPriority w:val="34"/>
    <w:qFormat/>
    <w:pPr>
      <w:contextualSpacing/>
      <w:ind w:left="720"/>
    </w:pPr>
  </w:style>
  <w:style w:type="paragraph" w:styleId="965">
    <w:name w:val="No Spacing"/>
    <w:uiPriority w:val="1"/>
    <w:qFormat/>
    <w:pPr>
      <w:spacing w:before="0" w:after="0" w:line="240" w:lineRule="auto"/>
    </w:pPr>
  </w:style>
  <w:style w:type="paragraph" w:styleId="966">
    <w:name w:val="Title"/>
    <w:basedOn w:val="1124"/>
    <w:next w:val="1124"/>
    <w:link w:val="9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67">
    <w:name w:val="Title Char"/>
    <w:link w:val="966"/>
    <w:uiPriority w:val="10"/>
    <w:rPr>
      <w:sz w:val="48"/>
      <w:szCs w:val="48"/>
    </w:rPr>
  </w:style>
  <w:style w:type="paragraph" w:styleId="968">
    <w:name w:val="Subtitle"/>
    <w:basedOn w:val="1124"/>
    <w:next w:val="1124"/>
    <w:link w:val="969"/>
    <w:uiPriority w:val="11"/>
    <w:qFormat/>
    <w:pPr>
      <w:spacing w:before="200" w:after="200"/>
    </w:pPr>
    <w:rPr>
      <w:sz w:val="24"/>
      <w:szCs w:val="24"/>
    </w:rPr>
  </w:style>
  <w:style w:type="character" w:styleId="969">
    <w:name w:val="Subtitle Char"/>
    <w:link w:val="968"/>
    <w:uiPriority w:val="11"/>
    <w:rPr>
      <w:sz w:val="24"/>
      <w:szCs w:val="24"/>
    </w:rPr>
  </w:style>
  <w:style w:type="paragraph" w:styleId="970">
    <w:name w:val="Quote"/>
    <w:basedOn w:val="1124"/>
    <w:next w:val="1124"/>
    <w:link w:val="971"/>
    <w:uiPriority w:val="29"/>
    <w:qFormat/>
    <w:pPr>
      <w:ind w:left="720" w:right="720"/>
    </w:pPr>
    <w:rPr>
      <w:i/>
    </w:rPr>
  </w:style>
  <w:style w:type="character" w:styleId="971">
    <w:name w:val="Quote Char"/>
    <w:link w:val="970"/>
    <w:uiPriority w:val="29"/>
    <w:rPr>
      <w:i/>
    </w:rPr>
  </w:style>
  <w:style w:type="paragraph" w:styleId="972">
    <w:name w:val="Intense Quote"/>
    <w:basedOn w:val="1124"/>
    <w:next w:val="1124"/>
    <w:link w:val="9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73">
    <w:name w:val="Intense Quote Char"/>
    <w:link w:val="972"/>
    <w:uiPriority w:val="30"/>
    <w:rPr>
      <w:i/>
    </w:rPr>
  </w:style>
  <w:style w:type="paragraph" w:styleId="974">
    <w:name w:val="Header"/>
    <w:basedOn w:val="1124"/>
    <w:link w:val="9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75">
    <w:name w:val="Header Char"/>
    <w:link w:val="974"/>
    <w:uiPriority w:val="99"/>
  </w:style>
  <w:style w:type="paragraph" w:styleId="976">
    <w:name w:val="Footer"/>
    <w:basedOn w:val="1124"/>
    <w:link w:val="9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77">
    <w:name w:val="Footer Char"/>
    <w:link w:val="976"/>
    <w:uiPriority w:val="99"/>
  </w:style>
  <w:style w:type="paragraph" w:styleId="978">
    <w:name w:val="Caption"/>
    <w:basedOn w:val="1124"/>
    <w:next w:val="1124"/>
    <w:link w:val="9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79">
    <w:name w:val="Caption Char"/>
    <w:link w:val="978"/>
    <w:uiPriority w:val="35"/>
    <w:rPr>
      <w:b/>
      <w:bCs/>
      <w:color w:val="4f81bd" w:themeColor="accent1"/>
      <w:sz w:val="18"/>
      <w:szCs w:val="18"/>
    </w:rPr>
  </w:style>
  <w:style w:type="table" w:styleId="98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8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8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0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01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01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01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01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01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01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01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01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01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01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02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02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02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02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02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02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02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02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02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02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4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4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4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4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4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4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5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6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7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07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07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7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07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07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07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07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07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07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08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08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08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08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08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08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8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8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8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8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9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9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9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9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09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09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09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09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09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09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10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0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10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10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10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10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106">
    <w:name w:val="Hyperlink"/>
    <w:uiPriority w:val="99"/>
    <w:unhideWhenUsed/>
    <w:rPr>
      <w:color w:val="0000ff" w:themeColor="hyperlink"/>
      <w:u w:val="single"/>
    </w:rPr>
  </w:style>
  <w:style w:type="paragraph" w:styleId="1107">
    <w:name w:val="footnote text"/>
    <w:basedOn w:val="1124"/>
    <w:link w:val="1108"/>
    <w:uiPriority w:val="99"/>
    <w:semiHidden/>
    <w:unhideWhenUsed/>
    <w:pPr>
      <w:spacing w:after="40" w:line="240" w:lineRule="auto"/>
    </w:pPr>
    <w:rPr>
      <w:sz w:val="18"/>
    </w:rPr>
  </w:style>
  <w:style w:type="character" w:styleId="1108">
    <w:name w:val="Footnote Text Char"/>
    <w:link w:val="1107"/>
    <w:uiPriority w:val="99"/>
    <w:rPr>
      <w:sz w:val="18"/>
    </w:rPr>
  </w:style>
  <w:style w:type="character" w:styleId="1109">
    <w:name w:val="footnote reference"/>
    <w:uiPriority w:val="99"/>
    <w:unhideWhenUsed/>
    <w:rPr>
      <w:vertAlign w:val="superscript"/>
    </w:rPr>
  </w:style>
  <w:style w:type="paragraph" w:styleId="1110">
    <w:name w:val="endnote text"/>
    <w:basedOn w:val="1124"/>
    <w:link w:val="1111"/>
    <w:uiPriority w:val="99"/>
    <w:semiHidden/>
    <w:unhideWhenUsed/>
    <w:pPr>
      <w:spacing w:after="0" w:line="240" w:lineRule="auto"/>
    </w:pPr>
    <w:rPr>
      <w:sz w:val="20"/>
    </w:rPr>
  </w:style>
  <w:style w:type="character" w:styleId="1111">
    <w:name w:val="Endnote Text Char"/>
    <w:link w:val="1110"/>
    <w:uiPriority w:val="99"/>
    <w:rPr>
      <w:sz w:val="20"/>
    </w:rPr>
  </w:style>
  <w:style w:type="character" w:styleId="1112">
    <w:name w:val="endnote reference"/>
    <w:uiPriority w:val="99"/>
    <w:semiHidden/>
    <w:unhideWhenUsed/>
    <w:rPr>
      <w:vertAlign w:val="superscript"/>
    </w:rPr>
  </w:style>
  <w:style w:type="paragraph" w:styleId="1113">
    <w:name w:val="toc 1"/>
    <w:basedOn w:val="1124"/>
    <w:next w:val="1124"/>
    <w:uiPriority w:val="39"/>
    <w:unhideWhenUsed/>
    <w:pPr>
      <w:ind w:left="0" w:right="0" w:firstLine="0"/>
      <w:spacing w:after="57"/>
    </w:pPr>
  </w:style>
  <w:style w:type="paragraph" w:styleId="1114">
    <w:name w:val="toc 2"/>
    <w:basedOn w:val="1124"/>
    <w:next w:val="1124"/>
    <w:uiPriority w:val="39"/>
    <w:unhideWhenUsed/>
    <w:pPr>
      <w:ind w:left="283" w:right="0" w:firstLine="0"/>
      <w:spacing w:after="57"/>
    </w:pPr>
  </w:style>
  <w:style w:type="paragraph" w:styleId="1115">
    <w:name w:val="toc 3"/>
    <w:basedOn w:val="1124"/>
    <w:next w:val="1124"/>
    <w:uiPriority w:val="39"/>
    <w:unhideWhenUsed/>
    <w:pPr>
      <w:ind w:left="567" w:right="0" w:firstLine="0"/>
      <w:spacing w:after="57"/>
    </w:pPr>
  </w:style>
  <w:style w:type="paragraph" w:styleId="1116">
    <w:name w:val="toc 4"/>
    <w:basedOn w:val="1124"/>
    <w:next w:val="1124"/>
    <w:uiPriority w:val="39"/>
    <w:unhideWhenUsed/>
    <w:pPr>
      <w:ind w:left="850" w:right="0" w:firstLine="0"/>
      <w:spacing w:after="57"/>
    </w:pPr>
  </w:style>
  <w:style w:type="paragraph" w:styleId="1117">
    <w:name w:val="toc 5"/>
    <w:basedOn w:val="1124"/>
    <w:next w:val="1124"/>
    <w:uiPriority w:val="39"/>
    <w:unhideWhenUsed/>
    <w:pPr>
      <w:ind w:left="1134" w:right="0" w:firstLine="0"/>
      <w:spacing w:after="57"/>
    </w:pPr>
  </w:style>
  <w:style w:type="paragraph" w:styleId="1118">
    <w:name w:val="toc 6"/>
    <w:basedOn w:val="1124"/>
    <w:next w:val="1124"/>
    <w:uiPriority w:val="39"/>
    <w:unhideWhenUsed/>
    <w:pPr>
      <w:ind w:left="1417" w:right="0" w:firstLine="0"/>
      <w:spacing w:after="57"/>
    </w:pPr>
  </w:style>
  <w:style w:type="paragraph" w:styleId="1119">
    <w:name w:val="toc 7"/>
    <w:basedOn w:val="1124"/>
    <w:next w:val="1124"/>
    <w:uiPriority w:val="39"/>
    <w:unhideWhenUsed/>
    <w:pPr>
      <w:ind w:left="1701" w:right="0" w:firstLine="0"/>
      <w:spacing w:after="57"/>
    </w:pPr>
  </w:style>
  <w:style w:type="paragraph" w:styleId="1120">
    <w:name w:val="toc 8"/>
    <w:basedOn w:val="1124"/>
    <w:next w:val="1124"/>
    <w:uiPriority w:val="39"/>
    <w:unhideWhenUsed/>
    <w:pPr>
      <w:ind w:left="1984" w:right="0" w:firstLine="0"/>
      <w:spacing w:after="57"/>
    </w:pPr>
  </w:style>
  <w:style w:type="paragraph" w:styleId="1121">
    <w:name w:val="toc 9"/>
    <w:basedOn w:val="1124"/>
    <w:next w:val="1124"/>
    <w:uiPriority w:val="39"/>
    <w:unhideWhenUsed/>
    <w:pPr>
      <w:ind w:left="2268" w:right="0" w:firstLine="0"/>
      <w:spacing w:after="57"/>
    </w:pPr>
  </w:style>
  <w:style w:type="paragraph" w:styleId="1122">
    <w:name w:val="TOC Heading"/>
    <w:uiPriority w:val="39"/>
    <w:unhideWhenUsed/>
  </w:style>
  <w:style w:type="paragraph" w:styleId="1123">
    <w:name w:val="table of figures"/>
    <w:basedOn w:val="1124"/>
    <w:next w:val="1124"/>
    <w:uiPriority w:val="99"/>
    <w:unhideWhenUsed/>
    <w:pPr>
      <w:spacing w:after="0" w:afterAutospacing="0"/>
    </w:pPr>
  </w:style>
  <w:style w:type="paragraph" w:styleId="1124" w:default="1">
    <w:name w:val="Normal"/>
    <w:next w:val="1124"/>
    <w:link w:val="1124"/>
    <w:qFormat/>
    <w:rPr>
      <w:rFonts w:eastAsia="Times New Roman"/>
      <w:sz w:val="22"/>
      <w:szCs w:val="22"/>
      <w:lang w:val="ru-RU" w:eastAsia="en-US" w:bidi="ar-SA"/>
    </w:rPr>
  </w:style>
  <w:style w:type="paragraph" w:styleId="1125">
    <w:name w:val="Заголовок 1,_EB_1"/>
    <w:basedOn w:val="1124"/>
    <w:next w:val="1162"/>
    <w:link w:val="1155"/>
    <w:uiPriority w:val="99"/>
    <w:qFormat/>
    <w:pPr>
      <w:numPr>
        <w:ilvl w:val="0"/>
        <w:numId w:val="1"/>
      </w:numPr>
      <w:contextualSpacing/>
      <w:jc w:val="center"/>
      <w:keepNext/>
      <w:pageBreakBefore/>
      <w:spacing w:before="240" w:after="480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styleId="1126">
    <w:name w:val="Заголовок 2,_EB_2"/>
    <w:basedOn w:val="1125"/>
    <w:next w:val="1162"/>
    <w:link w:val="1156"/>
    <w:uiPriority w:val="99"/>
    <w:qFormat/>
    <w:pPr>
      <w:numPr>
        <w:ilvl w:val="1"/>
        <w:numId w:val="1"/>
      </w:numPr>
      <w:jc w:val="left"/>
      <w:pageBreakBefore w:val="0"/>
      <w:spacing w:after="240"/>
      <w:tabs>
        <w:tab w:val="left" w:pos="851" w:leader="none"/>
      </w:tabs>
      <w:outlineLvl w:val="1"/>
    </w:pPr>
    <w:rPr>
      <w:bCs/>
      <w:iCs/>
      <w:caps w:val="0"/>
      <w:szCs w:val="32"/>
    </w:rPr>
  </w:style>
  <w:style w:type="paragraph" w:styleId="1127">
    <w:name w:val="Заголовок 3,_EB_3"/>
    <w:basedOn w:val="1126"/>
    <w:next w:val="1162"/>
    <w:link w:val="1157"/>
    <w:uiPriority w:val="99"/>
    <w:qFormat/>
    <w:pPr>
      <w:numPr>
        <w:ilvl w:val="2"/>
        <w:numId w:val="1"/>
      </w:numPr>
      <w:keepLines/>
      <w:tabs>
        <w:tab w:val="clear" w:pos="851" w:leader="none"/>
      </w:tabs>
      <w:outlineLvl w:val="2"/>
    </w:pPr>
    <w:rPr>
      <w:bCs w:val="0"/>
      <w:sz w:val="28"/>
      <w:szCs w:val="26"/>
    </w:rPr>
  </w:style>
  <w:style w:type="paragraph" w:styleId="1128">
    <w:name w:val="Заголовок 4,_EB_4"/>
    <w:basedOn w:val="1127"/>
    <w:next w:val="1162"/>
    <w:link w:val="1158"/>
    <w:uiPriority w:val="99"/>
    <w:qFormat/>
    <w:pPr>
      <w:numPr>
        <w:ilvl w:val="3"/>
        <w:numId w:val="1"/>
      </w:numPr>
      <w:outlineLvl w:val="3"/>
    </w:pPr>
    <w:rPr>
      <w:sz w:val="24"/>
    </w:rPr>
  </w:style>
  <w:style w:type="character" w:styleId="1129">
    <w:name w:val="Основной шрифт абзаца"/>
    <w:next w:val="1129"/>
    <w:link w:val="1124"/>
    <w:uiPriority w:val="1"/>
    <w:unhideWhenUsed/>
  </w:style>
  <w:style w:type="table" w:styleId="1130">
    <w:name w:val="Обычная таблица"/>
    <w:next w:val="1130"/>
    <w:link w:val="1124"/>
    <w:uiPriority w:val="99"/>
    <w:semiHidden/>
    <w:unhideWhenUsed/>
    <w:qFormat/>
    <w:tblPr/>
  </w:style>
  <w:style w:type="numbering" w:styleId="1131">
    <w:name w:val="Нет списка"/>
    <w:next w:val="1131"/>
    <w:link w:val="1124"/>
    <w:uiPriority w:val="99"/>
    <w:semiHidden/>
    <w:unhideWhenUsed/>
  </w:style>
  <w:style w:type="paragraph" w:styleId="1132">
    <w:name w:val="Абзац списка1"/>
    <w:basedOn w:val="1124"/>
    <w:next w:val="1132"/>
    <w:link w:val="1138"/>
    <w:pPr>
      <w:contextualSpacing/>
      <w:ind w:left="720"/>
    </w:pPr>
  </w:style>
  <w:style w:type="character" w:styleId="1133">
    <w:name w:val="Нижний колонтитул Знак,f Знак"/>
    <w:next w:val="1133"/>
    <w:link w:val="1124"/>
    <w:rPr>
      <w:rFonts w:ascii="Times New Roman" w:hAnsi="Times New Roman"/>
      <w:sz w:val="20"/>
      <w:szCs w:val="20"/>
    </w:rPr>
  </w:style>
  <w:style w:type="table" w:styleId="1134">
    <w:name w:val="Сетка таблицы"/>
    <w:basedOn w:val="1130"/>
    <w:next w:val="1134"/>
    <w:link w:val="1124"/>
    <w:uiPriority w:val="59"/>
    <w:pPr>
      <w:spacing w:after="0" w:line="240" w:lineRule="auto"/>
    </w:pPr>
    <w:rPr>
      <w:rFonts w:eastAsia="Times New Roman"/>
      <w:sz w:val="20"/>
      <w:szCs w:val="20"/>
    </w:rPr>
    <w:tblPr/>
  </w:style>
  <w:style w:type="paragraph" w:styleId="1135">
    <w:name w:val="Текст выноски"/>
    <w:basedOn w:val="1124"/>
    <w:next w:val="1135"/>
    <w:link w:val="1137"/>
    <w:semiHidden/>
    <w:rPr>
      <w:rFonts w:ascii="Tahoma" w:hAnsi="Tahoma" w:eastAsia="Calibri"/>
      <w:sz w:val="16"/>
      <w:szCs w:val="20"/>
      <w:lang w:val="en-US" w:eastAsia="en-US"/>
    </w:rPr>
  </w:style>
  <w:style w:type="paragraph" w:styleId="1136">
    <w:name w:val="ConsPlusCell"/>
    <w:next w:val="1136"/>
    <w:link w:val="1124"/>
    <w:rPr>
      <w:rFonts w:ascii="Times New Roman" w:hAnsi="Times New Roman" w:eastAsia="Times New Roman"/>
      <w:sz w:val="24"/>
      <w:szCs w:val="24"/>
      <w:lang w:val="ru-RU" w:eastAsia="en-US" w:bidi="ar-SA"/>
    </w:rPr>
  </w:style>
  <w:style w:type="character" w:styleId="1137">
    <w:name w:val="Текст выноски Знак"/>
    <w:next w:val="1137"/>
    <w:link w:val="1135"/>
    <w:semiHidden/>
    <w:rPr>
      <w:rFonts w:ascii="Tahoma" w:hAnsi="Tahoma"/>
      <w:sz w:val="16"/>
    </w:rPr>
  </w:style>
  <w:style w:type="character" w:styleId="1138">
    <w:name w:val="List Paragraph Char"/>
    <w:next w:val="1138"/>
    <w:link w:val="1132"/>
  </w:style>
  <w:style w:type="character" w:styleId="1139">
    <w:name w:val="Знак сноски"/>
    <w:next w:val="1139"/>
    <w:link w:val="1124"/>
    <w:uiPriority w:val="99"/>
    <w:rPr>
      <w:rFonts w:cs="Times New Roman"/>
      <w:vertAlign w:val="superscript"/>
    </w:rPr>
  </w:style>
  <w:style w:type="paragraph" w:styleId="1140">
    <w:name w:val="Текст сноски"/>
    <w:basedOn w:val="1124"/>
    <w:next w:val="1140"/>
    <w:link w:val="1142"/>
    <w:uiPriority w:val="99"/>
    <w:rPr>
      <w:rFonts w:eastAsia="Calibri"/>
      <w:sz w:val="20"/>
      <w:szCs w:val="20"/>
      <w:lang w:val="en-US" w:eastAsia="en-US"/>
    </w:rPr>
  </w:style>
  <w:style w:type="character" w:styleId="1141">
    <w:name w:val="Текст сноски Знак"/>
    <w:next w:val="1141"/>
    <w:link w:val="1124"/>
    <w:semiHidden/>
    <w:rPr>
      <w:sz w:val="20"/>
    </w:rPr>
  </w:style>
  <w:style w:type="character" w:styleId="1142">
    <w:name w:val="Текст сноски Знак1"/>
    <w:next w:val="1142"/>
    <w:link w:val="1140"/>
    <w:uiPriority w:val="99"/>
    <w:rPr>
      <w:rFonts w:ascii="Calibri" w:hAnsi="Calibri"/>
      <w:sz w:val="20"/>
    </w:rPr>
  </w:style>
  <w:style w:type="paragraph" w:styleId="1143">
    <w:name w:val="ConsPlusNonformat"/>
    <w:next w:val="1143"/>
    <w:link w:val="1124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1144">
    <w:name w:val="Гиперссылка"/>
    <w:next w:val="1144"/>
    <w:link w:val="1124"/>
    <w:rPr>
      <w:rFonts w:cs="Times New Roman"/>
      <w:color w:val="0000ff"/>
      <w:u w:val="single"/>
    </w:rPr>
  </w:style>
  <w:style w:type="paragraph" w:styleId="1145">
    <w:name w:val="Верхний колонтитул"/>
    <w:basedOn w:val="1124"/>
    <w:next w:val="1145"/>
    <w:link w:val="1147"/>
    <w:uiPriority w:val="99"/>
    <w:pPr>
      <w:tabs>
        <w:tab w:val="center" w:pos="4153" w:leader="none"/>
        <w:tab w:val="right" w:pos="8306" w:leader="none"/>
      </w:tabs>
    </w:pPr>
    <w:rPr>
      <w:rFonts w:ascii="Times New Roman" w:hAnsi="Times New Roman" w:eastAsia="Calibri"/>
      <w:sz w:val="20"/>
      <w:szCs w:val="20"/>
      <w:lang w:val="en-US" w:eastAsia="ru-RU"/>
    </w:rPr>
  </w:style>
  <w:style w:type="paragraph" w:styleId="1146">
    <w:name w:val="Colorful List - Accent 11"/>
    <w:basedOn w:val="1124"/>
    <w:next w:val="1146"/>
    <w:link w:val="1124"/>
    <w:uiPriority w:val="34"/>
    <w:qFormat/>
    <w:pPr>
      <w:contextualSpacing/>
      <w:ind w:left="720"/>
      <w:spacing w:after="200" w:line="276" w:lineRule="auto"/>
    </w:pPr>
    <w:rPr>
      <w:rFonts w:eastAsia="Calibri"/>
    </w:rPr>
  </w:style>
  <w:style w:type="character" w:styleId="1147">
    <w:name w:val="Верхний колонтитул Знак"/>
    <w:next w:val="1147"/>
    <w:link w:val="1145"/>
    <w:uiPriority w:val="99"/>
    <w:rPr>
      <w:rFonts w:ascii="Times New Roman" w:hAnsi="Times New Roman"/>
      <w:sz w:val="20"/>
      <w:lang w:eastAsia="ru-RU"/>
    </w:rPr>
  </w:style>
  <w:style w:type="character" w:styleId="1148">
    <w:name w:val="Знак примечания"/>
    <w:next w:val="1148"/>
    <w:link w:val="1124"/>
    <w:uiPriority w:val="99"/>
    <w:rPr>
      <w:rFonts w:cs="Times New Roman"/>
      <w:sz w:val="16"/>
      <w:szCs w:val="16"/>
    </w:rPr>
  </w:style>
  <w:style w:type="paragraph" w:styleId="1149">
    <w:name w:val="Текст примечания"/>
    <w:basedOn w:val="1124"/>
    <w:next w:val="1149"/>
    <w:link w:val="1151"/>
    <w:uiPriority w:val="99"/>
    <w:rPr>
      <w:sz w:val="20"/>
      <w:szCs w:val="20"/>
      <w:lang w:val="en-US"/>
    </w:rPr>
  </w:style>
  <w:style w:type="paragraph" w:styleId="1150">
    <w:name w:val="Тема примечания"/>
    <w:basedOn w:val="1149"/>
    <w:next w:val="1149"/>
    <w:link w:val="1153"/>
    <w:rPr>
      <w:b/>
      <w:bCs/>
    </w:rPr>
  </w:style>
  <w:style w:type="character" w:styleId="1151">
    <w:name w:val="Текст примечания Знак"/>
    <w:next w:val="1151"/>
    <w:link w:val="1149"/>
    <w:uiPriority w:val="99"/>
    <w:rPr>
      <w:rFonts w:eastAsia="Times New Roman" w:cs="Times New Roman"/>
      <w:lang w:eastAsia="en-US"/>
    </w:rPr>
  </w:style>
  <w:style w:type="paragraph" w:styleId="1152">
    <w:name w:val="Colorful Shading - Accent 11"/>
    <w:next w:val="1152"/>
    <w:link w:val="1124"/>
    <w:hidden/>
    <w:uiPriority w:val="99"/>
    <w:semiHidden/>
    <w:rPr>
      <w:rFonts w:eastAsia="Times New Roman"/>
      <w:sz w:val="22"/>
      <w:szCs w:val="22"/>
      <w:lang w:val="ru-RU" w:eastAsia="en-US" w:bidi="ar-SA"/>
    </w:rPr>
  </w:style>
  <w:style w:type="character" w:styleId="1153">
    <w:name w:val="Тема примечания Знак"/>
    <w:next w:val="1153"/>
    <w:link w:val="1150"/>
    <w:rPr>
      <w:rFonts w:eastAsia="Times New Roman" w:cs="Times New Roman"/>
      <w:b/>
      <w:bCs/>
      <w:lang w:eastAsia="en-US"/>
    </w:rPr>
  </w:style>
  <w:style w:type="paragraph" w:styleId="1154">
    <w:name w:val="ConsPlusNormal"/>
    <w:next w:val="1154"/>
    <w:link w:val="1124"/>
    <w:pPr>
      <w:widowControl w:val="off"/>
    </w:pPr>
    <w:rPr>
      <w:rFonts w:ascii="Arial" w:hAnsi="Arial" w:eastAsia="Times New Roman" w:cs="Arial"/>
      <w:lang w:val="ru-RU" w:eastAsia="ru-RU" w:bidi="ar-SA"/>
    </w:rPr>
  </w:style>
  <w:style w:type="character" w:styleId="1155">
    <w:name w:val="Заголовок 1 Знак,_EB_1 Знак"/>
    <w:next w:val="1155"/>
    <w:link w:val="1125"/>
    <w:uiPriority w:val="99"/>
    <w:rPr>
      <w:rFonts w:ascii="Times New Roman" w:hAnsi="Times New Roman" w:eastAsia="Times New Roman"/>
      <w:b/>
      <w:caps/>
      <w:sz w:val="32"/>
      <w:szCs w:val="36"/>
      <w:lang w:val="en-US" w:eastAsia="en-US"/>
    </w:rPr>
  </w:style>
  <w:style w:type="character" w:styleId="1156">
    <w:name w:val="Заголовок 2 Знак,_EB_2 Знак"/>
    <w:next w:val="1156"/>
    <w:link w:val="1126"/>
    <w:uiPriority w:val="99"/>
    <w:rPr>
      <w:rFonts w:ascii="Times New Roman" w:hAnsi="Times New Roman" w:eastAsia="Times New Roman"/>
      <w:b/>
      <w:bCs/>
      <w:iCs/>
      <w:sz w:val="32"/>
      <w:szCs w:val="32"/>
      <w:lang w:val="en-US" w:eastAsia="en-US"/>
    </w:rPr>
  </w:style>
  <w:style w:type="character" w:styleId="1157">
    <w:name w:val="Заголовок 3 Знак,_EB_3 Знак"/>
    <w:next w:val="1157"/>
    <w:link w:val="1127"/>
    <w:uiPriority w:val="99"/>
    <w:rPr>
      <w:rFonts w:ascii="Times New Roman" w:hAnsi="Times New Roman" w:eastAsia="Times New Roman"/>
      <w:b/>
      <w:iCs/>
      <w:sz w:val="28"/>
      <w:szCs w:val="26"/>
      <w:lang w:val="en-US" w:eastAsia="en-US"/>
    </w:rPr>
  </w:style>
  <w:style w:type="character" w:styleId="1158">
    <w:name w:val="Заголовок 4 Знак,_EB_4 Знак"/>
    <w:next w:val="1158"/>
    <w:link w:val="1128"/>
    <w:uiPriority w:val="99"/>
    <w:rPr>
      <w:rFonts w:ascii="Times New Roman" w:hAnsi="Times New Roman" w:eastAsia="Times New Roman"/>
      <w:b/>
      <w:iCs/>
      <w:sz w:val="24"/>
      <w:szCs w:val="26"/>
      <w:lang w:val="en-US" w:eastAsia="en-US"/>
    </w:rPr>
  </w:style>
  <w:style w:type="character" w:styleId="1159">
    <w:name w:val="_Текст+абзац Знак"/>
    <w:next w:val="1159"/>
    <w:link w:val="1160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styleId="1160">
    <w:name w:val="_Текст+абзац"/>
    <w:next w:val="1160"/>
    <w:link w:val="1159"/>
    <w:pPr>
      <w:ind w:firstLine="567"/>
      <w:jc w:val="both"/>
      <w:spacing w:line="360" w:lineRule="auto"/>
    </w:pPr>
    <w:rPr>
      <w:rFonts w:ascii="Times New Roman" w:hAnsi="Times New Roman"/>
      <w:spacing w:val="-2"/>
      <w:sz w:val="28"/>
      <w:szCs w:val="22"/>
      <w:lang w:val="ru-RU" w:eastAsia="en-US" w:bidi="ar-SA"/>
    </w:rPr>
  </w:style>
  <w:style w:type="character" w:styleId="1161">
    <w:name w:val="_EB_Normal Знак"/>
    <w:next w:val="1161"/>
    <w:link w:val="1162"/>
    <w:rPr>
      <w:sz w:val="24"/>
      <w:szCs w:val="22"/>
      <w:lang w:val="ru-RU" w:eastAsia="ru-RU" w:bidi="ar-SA"/>
    </w:rPr>
  </w:style>
  <w:style w:type="paragraph" w:styleId="1162">
    <w:name w:val="_EB_Normal"/>
    <w:next w:val="1162"/>
    <w:link w:val="1161"/>
    <w:pPr>
      <w:contextualSpacing/>
      <w:ind w:firstLine="567"/>
      <w:jc w:val="both"/>
      <w:spacing w:before="120" w:after="60"/>
    </w:pPr>
    <w:rPr>
      <w:sz w:val="24"/>
      <w:szCs w:val="22"/>
      <w:lang w:val="ru-RU" w:eastAsia="ru-RU" w:bidi="ar-SA"/>
    </w:rPr>
  </w:style>
  <w:style w:type="paragraph" w:styleId="1163">
    <w:name w:val="_EB_Sign"/>
    <w:basedOn w:val="1124"/>
    <w:next w:val="1163"/>
    <w:link w:val="1124"/>
    <w:pPr>
      <w:contextualSpacing/>
      <w:jc w:val="center"/>
      <w:keepNext/>
      <w:spacing w:before="120" w:after="120"/>
    </w:pPr>
    <w:rPr>
      <w:rFonts w:ascii="Times New Roman" w:hAnsi="Times New Roman"/>
      <w:b/>
      <w:sz w:val="28"/>
      <w:szCs w:val="20"/>
      <w:lang w:eastAsia="ru-RU"/>
    </w:rPr>
  </w:style>
  <w:style w:type="paragraph" w:styleId="1164">
    <w:name w:val="Основной текст с отступом 3"/>
    <w:basedOn w:val="1124"/>
    <w:next w:val="1164"/>
    <w:link w:val="1165"/>
    <w:uiPriority w:val="99"/>
    <w:semiHidden/>
    <w:pPr>
      <w:ind w:left="283" w:firstLine="567"/>
      <w:jc w:val="both"/>
      <w:spacing w:after="120"/>
    </w:pPr>
    <w:rPr>
      <w:rFonts w:ascii="Times New Roman" w:hAnsi="Times New Roman"/>
      <w:sz w:val="16"/>
      <w:szCs w:val="20"/>
      <w:lang w:val="en-US" w:eastAsia="en-US"/>
    </w:rPr>
  </w:style>
  <w:style w:type="character" w:styleId="1165">
    <w:name w:val="Основной текст с отступом 3 Знак"/>
    <w:next w:val="1165"/>
    <w:link w:val="1164"/>
    <w:uiPriority w:val="99"/>
    <w:semiHidden/>
    <w:rPr>
      <w:rFonts w:ascii="Times New Roman" w:hAnsi="Times New Roman" w:eastAsia="Times New Roman"/>
      <w:sz w:val="16"/>
      <w:szCs w:val="20"/>
      <w:lang w:val="en-US" w:eastAsia="en-US"/>
    </w:rPr>
  </w:style>
  <w:style w:type="paragraph" w:styleId="1166">
    <w:name w:val="Основной текст,body text table,Body Text Table,contents,bt,Body 3,Corps de texte,heading_txt,bodytxy2,Body Text - Level 2,??2,Platte tekst,body tesx,t,text,sp,Resume Text,Цитата1,heading3,body text1,body text2,bt1,body text3"/>
    <w:basedOn w:val="1124"/>
    <w:next w:val="1166"/>
    <w:link w:val="1167"/>
    <w:uiPriority w:val="99"/>
    <w:semiHidden/>
    <w:pPr>
      <w:ind w:firstLine="567"/>
      <w:jc w:val="both"/>
      <w:spacing w:after="240"/>
    </w:pPr>
    <w:rPr>
      <w:rFonts w:ascii="Times New Roman" w:hAnsi="Times New Roman"/>
      <w:sz w:val="20"/>
      <w:szCs w:val="20"/>
      <w:lang w:val="en-US" w:eastAsia="en-US"/>
    </w:rPr>
  </w:style>
  <w:style w:type="character" w:styleId="1167">
    <w:name w:val="Основной текст Знак,body text table Знак,Body Text Table Знак,contents Знак,bt Знак,Body 3 Знак,Corps de texte Знак,heading_txt Знак,bodytxy2 Знак,Body Text - Level 2 Знак,??2 Знак,Platte tekst Знак,body tesx Знак,t Знак,text Знак,sp Знак,Цитата1 Знак"/>
    <w:next w:val="1167"/>
    <w:link w:val="1166"/>
    <w:uiPriority w:val="99"/>
    <w:semiHidden/>
    <w:rPr>
      <w:rFonts w:ascii="Times New Roman" w:hAnsi="Times New Roman" w:eastAsia="Times New Roman"/>
      <w:sz w:val="20"/>
      <w:szCs w:val="20"/>
      <w:lang w:val="en-US" w:eastAsia="en-US"/>
    </w:rPr>
  </w:style>
  <w:style w:type="numbering" w:styleId="1168">
    <w:name w:val="1 / a / i"/>
    <w:basedOn w:val="1131"/>
    <w:next w:val="1168"/>
    <w:link w:val="1124"/>
    <w:unhideWhenUsed/>
    <w:pPr>
      <w:numPr>
        <w:ilvl w:val="0"/>
        <w:numId w:val="2"/>
      </w:numPr>
    </w:pPr>
  </w:style>
  <w:style w:type="paragraph" w:styleId="1169">
    <w:name w:val="Iau?iue"/>
    <w:next w:val="1169"/>
    <w:link w:val="1124"/>
    <w:rPr>
      <w:rFonts w:ascii="Times New Roman" w:hAnsi="Times New Roman" w:eastAsia="Times New Roman"/>
      <w:lang w:val="ru-RU" w:eastAsia="ru-RU" w:bidi="ar-SA"/>
    </w:rPr>
  </w:style>
  <w:style w:type="paragraph" w:styleId="1170">
    <w:name w:val="Iau?iue1"/>
    <w:next w:val="1170"/>
    <w:link w:val="1124"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paragraph" w:styleId="1171">
    <w:name w:val="Iniiaiie oaeno 2"/>
    <w:basedOn w:val="1169"/>
    <w:next w:val="1171"/>
    <w:link w:val="1124"/>
    <w:pPr>
      <w:ind w:firstLine="709"/>
      <w:jc w:val="both"/>
      <w:spacing w:after="120"/>
    </w:pPr>
    <w:rPr>
      <w:sz w:val="24"/>
    </w:rPr>
  </w:style>
  <w:style w:type="paragraph" w:styleId="1172">
    <w:name w:val="Нижний колонтитул"/>
    <w:basedOn w:val="1124"/>
    <w:next w:val="1172"/>
    <w:link w:val="1173"/>
    <w:unhideWhenUsed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1173">
    <w:name w:val="Нижний колонтитул Знак1"/>
    <w:next w:val="1173"/>
    <w:link w:val="1172"/>
    <w:rPr>
      <w:rFonts w:eastAsia="Times New Roman"/>
      <w:sz w:val="22"/>
      <w:szCs w:val="22"/>
      <w:lang w:eastAsia="en-US"/>
    </w:rPr>
  </w:style>
  <w:style w:type="paragraph" w:styleId="1174">
    <w:name w:val="Default"/>
    <w:next w:val="1174"/>
    <w:link w:val="1124"/>
    <w:uiPriority w:val="99"/>
    <w:rPr>
      <w:rFonts w:ascii="Times New Roman" w:hAnsi="Times New Roman"/>
      <w:color w:val="000000"/>
      <w:sz w:val="24"/>
      <w:szCs w:val="24"/>
      <w:lang w:val="ru-RU" w:eastAsia="en-US" w:bidi="ar-SA"/>
    </w:rPr>
  </w:style>
  <w:style w:type="paragraph" w:styleId="1175">
    <w:name w:val="Обычный (веб)"/>
    <w:basedOn w:val="1124"/>
    <w:next w:val="1175"/>
    <w:link w:val="1124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1176">
    <w:name w:val="Заг_Приложение"/>
    <w:basedOn w:val="1125"/>
    <w:next w:val="1162"/>
    <w:link w:val="1124"/>
    <w:uiPriority w:val="99"/>
    <w:pPr>
      <w:numPr>
        <w:ilvl w:val="0"/>
        <w:numId w:val="3"/>
      </w:numPr>
      <w:ind w:left="0" w:firstLine="0"/>
    </w:pPr>
    <w:rPr>
      <w:lang w:eastAsia="en-US"/>
    </w:rPr>
  </w:style>
  <w:style w:type="paragraph" w:styleId="1177">
    <w:name w:val="Схема документа"/>
    <w:basedOn w:val="1124"/>
    <w:next w:val="1177"/>
    <w:link w:val="1178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1178">
    <w:name w:val="Схема документа Знак"/>
    <w:next w:val="1178"/>
    <w:link w:val="1177"/>
    <w:uiPriority w:val="99"/>
    <w:semiHidden/>
    <w:rPr>
      <w:rFonts w:ascii="Tahoma" w:hAnsi="Tahoma" w:eastAsia="Times New Roman" w:cs="Tahoma"/>
      <w:sz w:val="16"/>
      <w:szCs w:val="16"/>
      <w:lang w:eastAsia="en-US"/>
    </w:rPr>
  </w:style>
  <w:style w:type="paragraph" w:styleId="1179">
    <w:name w:val="_GOST_Table_norm"/>
    <w:next w:val="1179"/>
    <w:link w:val="1180"/>
    <w:pPr>
      <w:ind w:left="57" w:right="57"/>
      <w:jc w:val="both"/>
    </w:pPr>
    <w:rPr>
      <w:rFonts w:ascii="Times New Roman" w:hAnsi="Times New Roman" w:eastAsia="Times New Roman"/>
      <w:sz w:val="22"/>
      <w:lang w:val="ru-RU" w:eastAsia="ru-RU" w:bidi="ar-SA"/>
    </w:rPr>
  </w:style>
  <w:style w:type="character" w:styleId="1180">
    <w:name w:val="_GOST_Table_norm Знак"/>
    <w:next w:val="1180"/>
    <w:link w:val="1179"/>
    <w:rPr>
      <w:rFonts w:ascii="Times New Roman" w:hAnsi="Times New Roman" w:eastAsia="Times New Roman"/>
      <w:sz w:val="22"/>
    </w:rPr>
  </w:style>
  <w:style w:type="paragraph" w:styleId="1181">
    <w:name w:val="Абзац списка"/>
    <w:basedOn w:val="1124"/>
    <w:next w:val="1181"/>
    <w:link w:val="1124"/>
    <w:uiPriority w:val="34"/>
    <w:qFormat/>
    <w:pPr>
      <w:ind w:left="708"/>
    </w:pPr>
  </w:style>
  <w:style w:type="paragraph" w:styleId="1182">
    <w:name w:val="Текст концевой сноски"/>
    <w:basedOn w:val="1124"/>
    <w:next w:val="1182"/>
    <w:link w:val="1183"/>
    <w:uiPriority w:val="99"/>
    <w:semiHidden/>
    <w:unhideWhenUsed/>
    <w:rPr>
      <w:sz w:val="20"/>
      <w:szCs w:val="20"/>
    </w:rPr>
  </w:style>
  <w:style w:type="character" w:styleId="1183">
    <w:name w:val="Текст концевой сноски Знак"/>
    <w:next w:val="1183"/>
    <w:link w:val="1182"/>
    <w:uiPriority w:val="99"/>
    <w:semiHidden/>
    <w:rPr>
      <w:rFonts w:eastAsia="Times New Roman"/>
      <w:lang w:eastAsia="en-US"/>
    </w:rPr>
  </w:style>
  <w:style w:type="character" w:styleId="1184">
    <w:name w:val="Знак концевой сноски"/>
    <w:next w:val="1184"/>
    <w:link w:val="1124"/>
    <w:uiPriority w:val="99"/>
    <w:semiHidden/>
    <w:unhideWhenUsed/>
    <w:rPr>
      <w:vertAlign w:val="superscript"/>
    </w:rPr>
  </w:style>
  <w:style w:type="character" w:styleId="1185">
    <w:name w:val="Просмотренная гиперссылка"/>
    <w:next w:val="1185"/>
    <w:link w:val="1124"/>
    <w:uiPriority w:val="99"/>
    <w:semiHidden/>
    <w:unhideWhenUsed/>
    <w:rPr>
      <w:color w:val="800080"/>
      <w:u w:val="single"/>
    </w:rPr>
  </w:style>
  <w:style w:type="character" w:styleId="1186" w:default="1">
    <w:name w:val="Default Paragraph Font"/>
    <w:uiPriority w:val="1"/>
    <w:semiHidden/>
    <w:unhideWhenUsed/>
  </w:style>
  <w:style w:type="numbering" w:styleId="1187" w:default="1">
    <w:name w:val="No List"/>
    <w:uiPriority w:val="99"/>
    <w:semiHidden/>
    <w:unhideWhenUsed/>
  </w:style>
  <w:style w:type="table" w:styleId="118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DreamLair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creator>БЕРЁЗА НАДЕЖДА ВАСИЛЬЕВНА</dc:creator>
  <cp:lastModifiedBy>3785</cp:lastModifiedBy>
  <cp:revision>25</cp:revision>
  <dcterms:created xsi:type="dcterms:W3CDTF">2022-04-01T12:05:00Z</dcterms:created>
  <dcterms:modified xsi:type="dcterms:W3CDTF">2026-01-23T13:05:30Z</dcterms:modified>
  <cp:version>983040</cp:version>
</cp:coreProperties>
</file>