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Управление Федерального казначейства по Луганской Народной Республике</w:t>
      </w: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действий </w:t>
      </w:r>
    </w:p>
    <w:p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получению квалифицированного сертификата ключа проверки электронной подписи в Удостоверяющем центре Федерального казначейства при изменении наименования организации </w:t>
      </w:r>
    </w:p>
    <w:p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изменения ИНН, ОГРН, КПП)</w:t>
      </w: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bookmarkStart w:id="0" w:name="_GoBack"/>
      <w:bookmarkEnd w:id="0"/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Информация в электронной форме, подписанная квалифицированной электронной подписью, признается электронным документом, равнозначным документу на бумажном носителе, подписанному собственноручной подписью, и может применяться в любых правоотношениях в соответствии с законодательством Российской Федерации, кроме случая,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 (</w:t>
      </w:r>
      <w:hyperlink r:id="rId8">
        <w:r>
          <w:rPr>
            <w:rFonts w:ascii="Times New Roman" w:hAnsi="Times New Roman" w:cs="Times New Roman"/>
            <w:sz w:val="28"/>
            <w:szCs w:val="28"/>
          </w:rPr>
          <w:t>ч. 1 ст. 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06 апреля 2011 г. № 63-ФЗ "Об электронной подписи" (далее – Закон)).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Сертификат включает в себя наименование организации. Соответственно, смена наименования организации влечет необходимость смены и сертификата.  При этом положения Закона не относят смену наименования организации ни к основанию прекращения действия сертификата, ни к основанию для его аннулирования (</w:t>
      </w:r>
      <w:hyperlink r:id="rId9">
        <w:r>
          <w:rPr>
            <w:rFonts w:ascii="Times New Roman" w:hAnsi="Times New Roman" w:cs="Times New Roman"/>
            <w:sz w:val="28"/>
            <w:szCs w:val="28"/>
          </w:rPr>
          <w:t>ч. 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10">
        <w:r>
          <w:rPr>
            <w:rFonts w:ascii="Times New Roman" w:hAnsi="Times New Roman" w:cs="Times New Roman"/>
            <w:sz w:val="28"/>
            <w:szCs w:val="28"/>
          </w:rPr>
          <w:t>6.1 ст.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Закона).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Вместе с тем подписание документов электронной подписью после дня изменения наименования организации влечет несоответствие реквизитов подписи и данных, содержащихся в подписываемых документах.</w:t>
      </w:r>
    </w:p>
    <w:p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при изменении наименования организации и наличии у должностного лица организации действующего сертификата, выданного Удостоверяющим центром Федерального казначейства, необходимо провести следующие мероприятия: </w:t>
      </w:r>
    </w:p>
    <w:p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Убедиться, что сведения об организации в ЕГРЮЛ актуальные.</w:t>
      </w:r>
    </w:p>
    <w:p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Сообщить в Управление Федерального казначейства по Луганской Народной Республике (далее – Управление) или в территориальный отдел Управления (по месту своего местонахождения) информацию об изменении наименования организации для актуализации сведений об организации в информационной системе «Удостоверяющий центр Федерального казначейства».</w:t>
      </w:r>
    </w:p>
    <w:p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планомерного получения сертификатов, составить графики, исходя из потребности в их получении большого количества сотрудников организации. </w:t>
      </w:r>
      <w:r>
        <w:rPr>
          <w:b/>
          <w:sz w:val="28"/>
          <w:szCs w:val="28"/>
        </w:rPr>
        <w:t>В первую очередь рекомендуется получить сертификаты для лиц, включенных в карточку образцов подписей (руководитель, главный бухгалтер).</w:t>
      </w:r>
    </w:p>
    <w:p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Заверить установленным порядком копию документа (приказ, распоряжение и т.п. о назначении на должность), подтверждающего замещение должности в организации (необходима печать организации с новым наименованием).</w:t>
      </w:r>
      <w:r>
        <w:t xml:space="preserve"> </w:t>
      </w:r>
      <w:r>
        <w:rPr>
          <w:sz w:val="28"/>
          <w:szCs w:val="28"/>
        </w:rPr>
        <w:t>Для лиц, имеющих право действовать от имени юридического лица без доверенности, сведения о которых имеются в ЕГРЮЛ, данный документ не оформляется.</w:t>
      </w:r>
    </w:p>
    <w:p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</w:p>
    <w:p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Пример заверения копии документа (п. 5.26 ГОСТ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7.0.97-2016)</w:t>
      </w:r>
    </w:p>
    <w:tbl>
      <w:tblPr>
        <w:tblW w:w="0" w:type="auto"/>
        <w:tblInd w:w="7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2"/>
        <w:gridCol w:w="2551"/>
        <w:gridCol w:w="2445"/>
      </w:tblGrid>
      <w:tr>
        <w:tc>
          <w:tcPr>
            <w:tcW w:w="4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>
            <w:pPr>
              <w:pStyle w:val="ConsPlusNormal"/>
              <w:tabs>
                <w:tab w:val="left" w:pos="993"/>
              </w:tabs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Верно</w:t>
            </w:r>
          </w:p>
          <w:p>
            <w:pPr>
              <w:pStyle w:val="ConsPlusNormal"/>
              <w:tabs>
                <w:tab w:val="left" w:pos="993"/>
              </w:tabs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Инспектор службы кадров</w:t>
            </w:r>
          </w:p>
          <w:p>
            <w:pPr>
              <w:pStyle w:val="ConsPlusNormal"/>
              <w:tabs>
                <w:tab w:val="left" w:pos="993"/>
              </w:tabs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>
            <w:pPr>
              <w:pStyle w:val="ConsPlusNormal"/>
              <w:tabs>
                <w:tab w:val="left" w:pos="993"/>
              </w:tabs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Подпись</w:t>
            </w:r>
          </w:p>
          <w:p>
            <w:pPr>
              <w:pStyle w:val="ConsPlusNormal"/>
              <w:tabs>
                <w:tab w:val="left" w:pos="993"/>
              </w:tabs>
              <w:contextualSpacing/>
              <w:rPr>
                <w:rFonts w:ascii="Times New Roman" w:hAnsi="Times New Roman"/>
                <w:sz w:val="10"/>
                <w:szCs w:val="10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0"/>
                <w:lang w:eastAsia="en-US"/>
              </w:rPr>
              <w:t>М.П.</w:t>
            </w:r>
          </w:p>
        </w:tc>
        <w:tc>
          <w:tcPr>
            <w:tcW w:w="24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>
            <w:pPr>
              <w:pStyle w:val="ConsPlusNormal"/>
              <w:tabs>
                <w:tab w:val="left" w:pos="993"/>
              </w:tabs>
              <w:contextualSpacing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И.О. Фамилия</w:t>
            </w:r>
          </w:p>
        </w:tc>
      </w:tr>
    </w:tbl>
    <w:p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Произвести формирование новых ключей электронной подписи (далее – ключ ЭП) на Портале заявителя информационной системы «Удостоверяющий центр Федерального казначейства» (</w:t>
      </w:r>
      <w:hyperlink r:id="rId11" w:history="1">
        <w:r>
          <w:rPr>
            <w:rStyle w:val="a4"/>
            <w:color w:val="auto"/>
            <w:sz w:val="28"/>
            <w:szCs w:val="28"/>
          </w:rPr>
          <w:t>https://fzs.roskazna.ru</w:t>
        </w:r>
      </w:hyperlink>
      <w:r>
        <w:rPr>
          <w:sz w:val="28"/>
          <w:szCs w:val="28"/>
        </w:rPr>
        <w:t xml:space="preserve">) с использованием действующего </w:t>
      </w:r>
      <w:r>
        <w:rPr>
          <w:sz w:val="28"/>
          <w:szCs w:val="28"/>
        </w:rPr>
        <w:lastRenderedPageBreak/>
        <w:t>ключа ЭП (Раздел - «Смена сертификата.</w:t>
      </w:r>
      <w:proofErr w:type="gramEnd"/>
      <w:r>
        <w:rPr>
          <w:sz w:val="28"/>
          <w:szCs w:val="28"/>
        </w:rPr>
        <w:t xml:space="preserve"> Имеется действующий сертификат, выданный УЦ ФК. </w:t>
      </w:r>
      <w:proofErr w:type="gramStart"/>
      <w:r>
        <w:rPr>
          <w:sz w:val="28"/>
          <w:szCs w:val="28"/>
        </w:rPr>
        <w:t>Посещение ТОФК не потребуется, если ваши сведения не изменились»).</w:t>
      </w:r>
      <w:proofErr w:type="gramEnd"/>
      <w:r>
        <w:rPr>
          <w:sz w:val="28"/>
          <w:szCs w:val="28"/>
        </w:rPr>
        <w:t xml:space="preserve"> При формировании новых ключей ЭП использовать документ из п. 4 настоящего порядка.</w:t>
      </w:r>
    </w:p>
    <w:p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После изготовления и скачивания нового сертификата произвести отзыв ранее полученных сертификатов на Портале заявителя информационной системы «Удостоверяющий центр Федерального казначейства» (</w:t>
      </w:r>
      <w:hyperlink r:id="rId12" w:history="1">
        <w:r>
          <w:rPr>
            <w:rStyle w:val="a4"/>
            <w:color w:val="auto"/>
            <w:sz w:val="28"/>
            <w:szCs w:val="28"/>
          </w:rPr>
          <w:t>https://fzs.roskazna.ru</w:t>
        </w:r>
      </w:hyperlink>
      <w:r>
        <w:rPr>
          <w:sz w:val="28"/>
          <w:szCs w:val="28"/>
        </w:rPr>
        <w:t>) с использованием любого действующего ключа ЭП (Раздел - «Прекращение действия сертификата.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Посещение ТОФК не требуется»).</w:t>
      </w:r>
      <w:proofErr w:type="gramEnd"/>
    </w:p>
    <w:p>
      <w:pPr>
        <w:contextualSpacing/>
        <w:jc w:val="both"/>
        <w:rPr>
          <w:sz w:val="28"/>
          <w:szCs w:val="28"/>
        </w:rPr>
      </w:pPr>
    </w:p>
    <w:p>
      <w:pPr>
        <w:contextualSpacing/>
        <w:jc w:val="both"/>
        <w:rPr>
          <w:sz w:val="28"/>
          <w:szCs w:val="28"/>
        </w:rPr>
      </w:pPr>
    </w:p>
    <w:p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sectPr>
      <w:headerReference w:type="default" r:id="rId13"/>
      <w:pgSz w:w="11906" w:h="16838"/>
      <w:pgMar w:top="1134" w:right="567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6581119"/>
      <w:docPartObj>
        <w:docPartGallery w:val="Page Numbers (Top of Page)"/>
        <w:docPartUnique/>
      </w:docPartObj>
    </w:sdtPr>
    <w:sdtContent>
      <w:p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460BE6"/>
    <w:multiLevelType w:val="hybridMultilevel"/>
    <w:tmpl w:val="5BEA8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Page">
    <w:name w:val="ConsPlusTitlePag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Page">
    <w:name w:val="ConsPlusTitlePag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5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4294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60125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CB3967A767FC7E37E77DE0E3F96A80F118F165A4F33F9ACABBEEA2DC739D570C65265EFA3C8BC529BEDBF25EDE6BBD1B639056h8tDK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fzs.roskazn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fzs.roskazna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ECB3967A767FC7E37E77DE0E3F96A80F118F165A4F33F9ACABBEEA2DC739D570C65265CFC3C8BC529BEDBF25EDE6BBD1B639056h8tD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ECB3967A767FC7E37E77DE0E3F96A80F118F165A4F33F9ACABBEEA2DC739D570C65265EFA37DE906AE082A11B9566B6047F905D91C3CBE4hFt2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Поздеев Петр Владимирович</dc:creator>
  <cp:lastModifiedBy>Admin</cp:lastModifiedBy>
  <cp:revision>9</cp:revision>
  <dcterms:created xsi:type="dcterms:W3CDTF">2023-10-27T05:56:00Z</dcterms:created>
  <dcterms:modified xsi:type="dcterms:W3CDTF">2026-01-15T09:19:00Z</dcterms:modified>
</cp:coreProperties>
</file>