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  <w:t xml:space="preserve">у Федерального казначейства от</w:t>
      </w:r>
      <w:r>
        <w:rPr>
          <w:rFonts w:ascii="Times New Roman" w:hAnsi="Times New Roman" w:cs="Times New Roman"/>
          <w:b/>
          <w:sz w:val="28"/>
          <w:szCs w:val="28"/>
        </w:rPr>
        <w:t xml:space="preserve"> 5 декабря 2024 г. № 21н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</w:t>
      </w:r>
      <w:r>
        <w:rPr>
          <w:rFonts w:ascii="Times New Roman" w:hAnsi="Times New Roman" w:cs="Times New Roman"/>
          <w:b/>
          <w:sz w:val="28"/>
          <w:szCs w:val="28"/>
        </w:rPr>
        <w:t xml:space="preserve">ок</w:t>
      </w:r>
      <w:r>
        <w:rPr>
          <w:rFonts w:ascii="Times New Roman" w:hAnsi="Times New Roman" w:cs="Times New Roman"/>
          <w:b/>
          <w:sz w:val="28"/>
          <w:szCs w:val="28"/>
        </w:rPr>
        <w:t xml:space="preserve"> ведения Государственной информационной системы о государственных и муниципальных платежах</w:t>
      </w:r>
      <w:r>
        <w:rPr>
          <w:rFonts w:ascii="Times New Roman" w:hAnsi="Times New Roman" w:cs="Times New Roman"/>
          <w:b/>
          <w:sz w:val="28"/>
          <w:szCs w:val="28"/>
        </w:rPr>
        <w:t xml:space="preserve">, утвержденный приказом Федерального казначейства </w:t>
      </w:r>
      <w:r>
        <w:rPr>
          <w:rFonts w:ascii="Times New Roman" w:hAnsi="Times New Roman" w:cs="Times New Roman"/>
          <w:b/>
          <w:sz w:val="28"/>
          <w:szCs w:val="28"/>
        </w:rPr>
        <w:t xml:space="preserve">от 12 мая 2017 г. № 11н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  <w:br/>
        <w:t xml:space="preserve">(далее соответственно – Приказ,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Порядок № 11н, </w:t>
      </w:r>
      <w:r>
        <w:rPr>
          <w:rFonts w:ascii="Times New Roman" w:hAnsi="Times New Roman" w:cs="Times New Roman"/>
          <w:b/>
          <w:sz w:val="28"/>
          <w:szCs w:val="28"/>
        </w:rPr>
        <w:t xml:space="preserve">ГИС ГМП)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956"/>
        <w:tblW w:w="5000" w:type="pct"/>
        <w:tblLayout w:type="fixed"/>
        <w:tblLook w:val="04A0" w:firstRow="1" w:lastRow="0" w:firstColumn="1" w:lastColumn="0" w:noHBand="0" w:noVBand="1"/>
      </w:tblPr>
      <w:tblGrid>
        <w:gridCol w:w="684"/>
        <w:gridCol w:w="1758"/>
        <w:gridCol w:w="4039"/>
        <w:gridCol w:w="4040"/>
        <w:gridCol w:w="4039"/>
      </w:tblGrid>
      <w:tr>
        <w:tblPrEx/>
        <w:trPr>
          <w:trHeight w:val="20"/>
          <w:tblHeader/>
        </w:trPr>
        <w:tc>
          <w:tcPr>
            <w:tcW w:w="684" w:type="dxa"/>
            <w:textDirection w:val="lrTb"/>
            <w:noWrap w:val="false"/>
          </w:tcPr>
          <w:p>
            <w:pPr>
              <w:ind w:lef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Структурный элемент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Действующая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приказа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с учетом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босновани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вносимых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textDirection w:val="lrTb"/>
            <w:noWrap w:val="false"/>
          </w:tcPr>
          <w:p>
            <w:pPr>
              <w:ind w:firstLine="284"/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1.1. 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астоящий Порядок разработан на основании статьи 166.1 Бюджетного кодекса Российской Федерации (Собрание законодательства Российской Федерации, 1998, N 31, ст. 3823; 2007, N 18, ст. 2117; 2010, N 19, ст. 2291; 2011, N 27, ст. 3873; 2013, N 19, ст. 2331, N 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ст. 4191, N 52, ст. 6983; 2014, N 43, ст. 5795; 2016, N 27, ст. 4278) и статьи 21.3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 N 31, ст. 4179; 2011, N 27, ст. 3873; 2016, N 7, ст. 916) (далее - Закон об организации предоставления государственных и муниципальных услуг) и определяет:</w:t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фиксацию времени доступности ГИС ГМП, а также времени поступления в ГИС ГМП информации, указанной в пунктах 1 и 2 части 3 статьи 21.3 Закона об организации предоставления государственных и муниципальных услуг;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textDirection w:val="lrTb"/>
            <w:noWrap w:val="false"/>
          </w:tcPr>
          <w:p>
            <w:pPr>
              <w:ind w:firstLine="28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1.1. 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астоящий Порядок разработан на основании статьи 166.1 Бюджетного кодекса Российской Федерации (Собрание законодательства Российской Федерации, 1998, N 31, ст. 3823; 2007, N 18, ст. 2117; 2010, N 19, ст. 2291; 2011, N 27, ст. 3873; 2013, N 19, ст. 2331, N 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ст. 4191, N 52, ст. 6983; 2014, N 43, ст. 5795; 2016, N 27, ст. 4278) и статьи 21.3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 N 31, ст. 4179; 2011, N 27, ст. 3873; 2016, N 7, ст. 916) (далее - Закон об организации предоставления государственных и муниципальных услуг) и определяет: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порядок фиксации времени доступности ГИС ГМП, а также времени поступления в ГИС ГМП информации, указанной в пунктах 1 и 2 части 3 статьи 21.3 Закона об организации предоставления государственных и муниципальных услуг;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textDirection w:val="lrTb"/>
            <w:noWrap w:val="false"/>
          </w:tcPr>
          <w:p>
            <w:pPr>
              <w:contextualSpacing w:val="0"/>
              <w:ind w:firstLine="283"/>
              <w:jc w:val="both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положений Порядка № 11н в соответствие положениям пункта 4 части 3 статьи 21.3 Федерального закона от 27 июля 2010 г. № 210-ФЗ «Об организации предоставления государственных и муниципальных услуг».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 w:val="0"/>
              <w:ind w:firstLine="283"/>
              <w:jc w:val="both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оступ к ГИС ГМП предоставляется участникам ГИС ГМП, указанным в пункте 2.6 настоящего Порядка, посредством информационного взаимодействия ГИС ГМП и информационных систем участников ГИС ГМП (далее - информационное взаимодействие с ГИС ГМП) с использованием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единой системы межведомственного электронного взаимодействия, предусмотренной постановлением Правительства Российской Федерации от 8 сентября 2010 г. 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 697 "О единой системе межведомственного электронного взаимодействия"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(далее - СМЭВ), после прохождения участниками ГИС ГМП процедуры регистрации в ГИС ГМП в соответствии с пунктом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2.20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настоящего Порядка.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оступ к ГИС ГМП предоставляется участникам ГИС ГМП, указанным в пункте 2.6 настоящего Порядка, посредством информационного взаимодействия ГИС ГМП и информационных систем участников ГИС ГМП (далее - информационное взаимодействие с ГИС ГМП) с использованием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единой системы межведомственного электронного взаимодействия, предусмотренной постановлением Правительства Российской Федерации от 8 сентября 2010 г. 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№ 697 "О единой системе межведомственного электронного взаимодействия"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(далее - СМЭВ), после прохождения участниками ГИС ГМП процедуры регистрации в ГИС ГМП в соответствии с пунктом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2.8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настоящего Порядка.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contextualSpacing w:val="0"/>
              <w:ind w:firstLine="283"/>
              <w:jc w:val="both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положений Порядка № 11н в соответствие друг другу.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ГИС ГМП (далее - Участники) являются:</w:t>
            </w:r>
            <w:r>
              <w:rPr>
                <w:sz w:val="24"/>
                <w:szCs w:val="24"/>
              </w:rPr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 ГИС ГМП (далее - Участники) являются: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уполномоченный федеральный орган исполнительной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власти, осуществляющий функции по созданию, развитию, эксплуатации, в том числе обслуживанию пользователей государственной информационной системы «Официальный сайт Российской Федерации в информационно-телекоммуникационной сети «Интернет»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www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torgi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gov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ru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(далее – оператор ГИС «Торги»);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оператор государственной автоматизированной информационной системы «Управление» (далее – оператор ГАС «Управление»);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оператор Цифровой платформы малого и среднего предпринимательства (далее – оператор Цифровой платформы МС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оператор федеральной государственной информационной системы легковых такси (далее – оператор ФГИС такси);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оператор федеральной государственной информационной системы учета и регистрации тракторов, самоходных машин и прицепов к ним (далее – оператор ФГИ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 УСМТ);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операторы услуг информационного обмена, обеспечивающие информационное взаимодействие с ГИС ГМП операторов по переводу денежных средств (далее – операторы услуг информационного обмена)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39" w:type="dxa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cs="Times New Roman"/>
                <w:sz w:val="28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риказом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предусматривается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расшир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 состав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астников ГИС ГМП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highlight w:val="white"/>
              </w:rPr>
            </w:r>
          </w:p>
          <w:p>
            <w:pPr>
              <w:pStyle w:val="952"/>
              <w:numPr>
                <w:ilvl w:val="0"/>
                <w:numId w:val="2"/>
              </w:numPr>
              <w:contextualSpacing w:val="0"/>
              <w:ind w:left="0" w:firstLine="283"/>
              <w:jc w:val="both"/>
              <w:spacing w:before="0"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рамках реализации положений пункта 41 Правил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проведения конкурсов и аукционов на право заключения  соглашения об осуществлении рекреационной деятельности в национальном парке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утвержденных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постановлением Правительства Российской Федерации от 11.12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.2023 № 2112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а также на основании изменений в постановления Правительства №№ 860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val="ru-RU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и 1041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val="ru-RU"/>
              </w:rPr>
              <w:footnoteReference w:id="3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Федеральному казначейству, как оператору ГИС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Торги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предоставл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доступ к ГИС ГМП в целях размещения уполномоченными органами и организациями информации, необходимой для уплаты платежей за реализуемое имущество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посредством ГИС «Торги»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numPr>
                <w:ilvl w:val="0"/>
                <w:numId w:val="2"/>
              </w:numPr>
              <w:contextualSpacing w:val="0"/>
              <w:ind w:left="0" w:firstLine="283"/>
              <w:jc w:val="both"/>
              <w:spacing w:before="0"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соответствии с поручением Аппарата Правительства Российской 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едерации от 07.03.2023 № 5444-П6 Федеральному казначейству, как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оператору государственной автоматизированной информационной системы «Управление», предоставл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доступ к ГИС ГМП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целях определения факта функционирования объектов капитального строительства. 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numPr>
                <w:ilvl w:val="0"/>
                <w:numId w:val="2"/>
              </w:numPr>
              <w:contextualSpacing w:val="0"/>
              <w:ind w:left="0" w:firstLine="283"/>
              <w:jc w:val="both"/>
              <w:spacing w:before="0"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рамках эксперимента по цифровой трансформации предоставления услуг, мер поддержки и сервисов в целях развития малого и среднего предпринимательства, утвержденного постановлением Правительства Российской Федерации от 21.12.2021 № 2371 «О проведе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нии эксперимента по цифровой трансформации предоставления услуг, мер поддержки и сервисов в целях развития малого и среднего предпринимательства» пользователям Цифровой платформы малого и среднего предпринимательства, оператором которой является АО «Корпор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ация МСП», предоставл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возможность получения информации, необходимой для уплаты денежных средств, и иной информации из ГИС ГМП для проверки факта отсутствия у субъектов малого и среднего предпринимательства задолженности по платежам в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бюджетную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систему.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numPr>
                <w:ilvl w:val="0"/>
                <w:numId w:val="2"/>
              </w:numPr>
              <w:contextualSpacing w:val="0"/>
              <w:ind w:left="0" w:firstLine="283"/>
              <w:jc w:val="both"/>
              <w:spacing w:before="0"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целях реализации положений пункта 4 части 9 статьи 5 Федерального закона от 29.12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.2022 № 580-ФЗ «Об организации перевозок пассажиров и багажа легковым такси в Российской Федерации, о внесении изменений в отдельные законодательные акты Российской Федерации и о признании утратившими ситу отдельных положений законодательных актов Российск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ой Федерации» оператору ФГИС такси предоставл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яется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возможность осуществления с использованием ГИС ГМП проверки наличия неоплаченных административных штрафов при выдаче разрешений на осуществление деятельности по перевозке пассажиров и багажа легковым такси. 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numPr>
                <w:ilvl w:val="0"/>
                <w:numId w:val="2"/>
              </w:numPr>
              <w:contextualSpacing w:val="0"/>
              <w:ind w:left="0" w:firstLine="283"/>
              <w:jc w:val="both"/>
              <w:spacing w:before="0"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рамках реализации положений пункта 44 Правил допуска к управлению 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амоходными машинами и выдачи удостоверений </w:t>
            </w:r>
            <w:r>
              <w:rPr>
                <w:rFonts w:ascii="Times New Roman" w:hAnsi="Times New Roman" w:eastAsia="Times New Roman" w:cs="Times New Roman"/>
                <w:spacing w:val="0"/>
                <w:sz w:val="24"/>
                <w:szCs w:val="24"/>
                <w:lang w:val="ru-RU"/>
              </w:rPr>
              <w:t xml:space="preserve">тракториста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-машиниста (тракториста), утвержденных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постановлением Правительства Российской Федерации от 12.07.1999 № 769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оператору ФГИС УСМТ предоставл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яется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возможность осуществления с использованием ГИС ГМП проверки уплаты денежных средств по административным штрафам в области дорожного движения. </w:t>
            </w: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  <w:p>
            <w:pPr>
              <w:numPr>
                <w:ilvl w:val="0"/>
                <w:numId w:val="2"/>
              </w:numPr>
              <w:contextualSpacing w:val="0"/>
              <w:ind w:left="0" w:firstLine="283"/>
              <w:jc w:val="both"/>
              <w:spacing w:before="0"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соответствии с положениями Федерального закона от 27.06.2011 № 161-ФЗ «О национальной платежной системе»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(статьи 3, 9.1, 30.6)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оператор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по переводу денежных средств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(кредитные организации)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вправе привлекать операторов услуг информационного обмена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обмена информацией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 клиентами кредитных организаций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при осуществлении операций с использованием электронных средств платежа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(банковских карт).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 основании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указанных положений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предусматривается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включение в состав участников ГИС ГМП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операторов услуг информационного обмена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для взаимодействия через них операторов по переводу денежных средств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, что позволит снизить расходы кредитных организаций.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могут осуществлять в ГИС ГМП следующие полномочия: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ператоры по переводу денежных средств, обеспечивающие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агентов, органы государственной власти (органы 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стного самоуправления), обеспечивающие информационное взаимодействие с ГИС ГМП финансовых органов и (или) местных администраций, и (или) учреждений, осуществляющих прием от плательщиков наличных денежных средств, оператор системы "Электронный бюджет", орга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ы управления государственными внебюджетными фондами Российской Федерации, обеспечивающие информационное взаимодействие с ГИС ГМП территориальных органов государственных внебюджетных фондов Российской Федерации, уполномоченные многофункциональные центры, об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еспечивающие информационное взаимодействие с ГИС ГМП многофункциональных центров, - полномочия главного администратора платежей (далее - главные администраторы платежей);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операторы порталов, многофункциональные центры, иные уполномоченные органы - полномочия администратора запросов (далее - администраторы запросов);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могут осуществлять в ГИС ГМП следующие полномочия: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ператоры по переводу денежных средств, обеспечивающие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агентов, органы государственной власти (органы м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стного самоуправления), обеспечивающие информационное взаимодействие с ГИС ГМП финансовых органов и (или) местных администраций, и (или) учреждений, осуществляющих прием от плательщиков наличных денежных средств, оператор системы "Электронный бюджет", орга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ы управления государственными внебюджетными фондами Российской Федерации, обеспечивающие информационное взаимодействие с ГИС ГМП территориальных органов государственных внебюджетных фондов Российской Федерации,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операторы услуг информационного обмена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, уполномоченные многофункциональные центры, об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еспечивающие информационное взаимодействие с ГИС ГМП многофункциональных центров, - полномочия главного администратора платежей (далее - главные администраторы платежей);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операторы порталов,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оператор ГИС «Торги», оператор ГАС «Управление», оператор Цифровой платформы МСП, оператор ФГИС такси, оператор ФГИС УСМТ,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многофункциональные центры, иные уполномоченные органы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- полномочия администратора запросов (далее - администраторы запросов);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положений Порядка № 11н в соответствие друг другу.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ind w:firstLine="283"/>
              <w:jc w:val="both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Новым участникам ГИС ГМП предоставляется право передавать информацию об уплате денежных средств и запрашивать информацию.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2.9.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отсутствии технической возможности регистрации в ГИС ГМП в соответствии с пунктом 2.8 настоящего Порядка Участником прямого взаимодействия представляется в территориальный орган Федерального казначейства по своему месту нахождения Заявка на регистрацию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в двух экземплярах с одновременным представлением документа на машинном носителе, а также заверенные копии документов, предусмотренных пунктом 2.10 настоящего Порядка, в одном экземпляре.</w:t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аявка на регистрацию в форме документа на бумажном носителе подписывается руководителем (или уполномоченным им лицом) Участника прямого взаимодействия с указанием должности и расшифровки подписи, содержащей фамилию и инициалы, и скрепляется печатью Участни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 прямого взаимодействия.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представления участниками системы документов на бумажном носителе в целях получения доступа к ГИС ГМП.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Получение доступа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использованием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2.10.5. Оператором по приему платежей:</w:t>
            </w:r>
            <w:r/>
          </w:p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об осуществлении деятельности по приему платежей физических лиц, заключенный в соответствии с Федеральным законом от 3 июня 2009 г. № 103-ФЗ "О деятельности по приему платежей физических лиц, осуществляемой платежными агентами"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постановке оператора по приему платежей на учет в Федеральной службе по финансовому мониторингу.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предоставления операторами по приему платежей документов-оснований на бумажном носителе в целях получения доступа к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ГИС ГМП.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Получение данной информации должно осуществляться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территориальными органами Федерального казначейства</w:t>
            </w:r>
            <w: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опубликованного на сайте Банка России </w:t>
            </w:r>
            <w:hyperlink r:id="rId11" w:tooltip="https://www.cbr.ru/psystem/registers/" w:history="1">
              <w:r>
                <w:rPr>
                  <w:rStyle w:val="959"/>
                  <w:rFonts w:ascii="Times New Roman" w:hAnsi="Times New Roman" w:cs="Times New Roman"/>
                  <w:sz w:val="24"/>
                  <w:szCs w:val="24"/>
                </w:rPr>
                <w:t xml:space="preserve">реестра операторов по приему платежей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ведение которого осуществляется Банком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частью 1 статьи 3.1 Федерального закона от 3 июня 2009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103-ФЗ «О деятельности по приему платежей физических лиц, осуществляемой платежными агентами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.10.12. Государственным и муниципальным учреждением с типом бюджетное или автономное - сведения об оказываемых государственным и муниципальным учреждением услугах, указанных в части 3 статьи 1 и части 1 статьи 9 Закона об организации предоставления государ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ственных и муниципальных услуг, и нормативном правовом акте, утвердившем перечень данных услуг.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Федеральному закону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02.10.2007 № 229-ФЗ «Об исполнительном производстве»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Правительства Российской Федерации от 18.07.2019 № 934 «Об утверждении требований к форматам исполнительных документов, вынесенных и (или) направляемых для исполнения в форме электронного документа»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исполнительном документе в обязательном порядке должен быть указан уникальный идентификатор начисления, сформированный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 (муниципальным) учреждением при направлении информации о начислении в ГИС ГМП.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Как правило, необходимость взыскания денежных средств связано с финансово-хозяйственной деятельностью учреждений, но не оказанием государственных (муниципальных) услуг. В этой связи, для возможности получения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учреждениями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доступа к ГИС ГМП и выставления ими начислений необходимо исключить требование о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сведений об оказываемых учреждениями услугах 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нормативных правовых актов, которыми утверждены перечни данных услуг.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ерриториальный орган Федерального казначейства осуществляет рассмотрение Заявки на регистрацию, Заявки на внесение изменений, Заявки на прекращение доступа и документов, представленных в соответствии с пунктами 2.10 - 2.11, 2.13 и 2.14 настоящего Порядка,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проверку: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ерриториальный орган Федерального казначейства осуществляет рассмотрение Заявки на регистрацию, Заявки на внесение изменений, Заявки на прекращение доступа и документов, представленных в соответствии с пунктами 2.10 - 2.11, 2.13 и 2.14 настоящего Порядка,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проверку: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наличия сведений об Участнике, являющемся оператором по приему платежей, указанных в Заявке на регистрацию, Заявке на внесение изменений, в реестре операторов по приему платежей, ведение которого осуществляется Банком России в соответствии с частью 1 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атьи 3.1 Федерального закона от 3 июня 2009 года № 103-ФЗ «О деятельности по приему платежей физических лиц, осуществляемой платежными агентами»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наличия сведений об Участнике, являющемся оператором услуг информационного обмена, указанных в Заявке на реги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страцию, Заявке на внесение изменений, в перечне операторов услуг информационного обмена, ведение которого осуществляется Банком России в соответствии с частью 20 статьи 9.1 Федерального закона от 27 июня 2011 года № 161-ФЗ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«О национальной платежной системе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».</w:t>
            </w: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r>
            <w:r>
              <w:rPr>
                <w:rFonts w:asciiTheme="minorHAnsi" w:hAnsiTheme="minorHAnsi" w:cstheme="minorBidi"/>
                <w:b/>
                <w:bCs/>
                <w:sz w:val="28"/>
                <w:szCs w:val="28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дополняется положениями о проведении проверок при предоставлении доступа к системе операторам по приему платежей и операторам услуг информационного обмена.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Данные проверки должны осуществляться территориальными органами Федерального казначейства на основании информации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hyperlink r:id="rId12" w:tooltip="https://www.cbr.ru/psystem/registers/" w:history="1">
              <w:r>
                <w:rPr>
                  <w:rStyle w:val="959"/>
                  <w:rFonts w:ascii="Times New Roman" w:hAnsi="Times New Roman" w:cs="Times New Roman"/>
                  <w:sz w:val="24"/>
                  <w:szCs w:val="24"/>
                </w:rPr>
                <w:t xml:space="preserve">реестра операторов по приему платежей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ведение которого осуществляется Банком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частью 1 статьи 3.1 Федерального закона от 3 июня 2009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103-ФЗ «О деятельности по приему платежей физических лиц, 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яемой платежными агентами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tooltip="https://www.cbr.ru/psystem/registers/" w:history="1">
              <w:r>
                <w:rPr>
                  <w:rStyle w:val="959"/>
                  <w:rFonts w:ascii="Times New Roman" w:hAnsi="Times New Roman" w:cs="Times New Roman"/>
                  <w:sz w:val="24"/>
                  <w:szCs w:val="24"/>
                </w:rPr>
                <w:t xml:space="preserve">перечня операторов услуг </w:t>
              </w:r>
              <w:r>
                <w:rPr>
                  <w:rStyle w:val="959"/>
                  <w:rFonts w:ascii="Times New Roman" w:hAnsi="Times New Roman" w:cs="Times New Roman"/>
                  <w:sz w:val="24"/>
                  <w:szCs w:val="24"/>
                </w:rPr>
                <w:t xml:space="preserve">инфо</w:t>
              </w:r>
              <w:r>
                <w:rPr>
                  <w:rStyle w:val="959"/>
                  <w:rFonts w:ascii="Times New Roman" w:hAnsi="Times New Roman" w:cs="Times New Roman"/>
                  <w:sz w:val="24"/>
                  <w:szCs w:val="24"/>
                </w:rPr>
                <w:t xml:space="preserve">рмационного обмена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ведение которого осуществляется Банком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частью 20 статьи 9.1 Федерального закона от 27 июня 2011 года № 161-ФЗ «О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циональной платежной системе».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 положительного результата проведения предусмотренной пунктом 2.16 настоящего Порядка проверки Заявки на регистрацию и документов, представленных Участником прямого взаимодействия в соответствии с пунктами 2.10 - 2.11 настоящего Порядка, территориал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ьный орган Федерального казначейства в течение семи рабочих дней, следующих за днем их получения: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озвращает Участнику прямого взаимодействия один экземпляр Заявки на регистрацию, представленной в форме документа на бумажном носителе, с отметкой территориального органа Федерального казначейства о присвоении уникального регистрационного номера Участнику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прямого взаимодействия и отражением информации об уникальных регистрационных номерах, присвоенных Участникам косвенного взаимодействия, в случае их указания в Заявке на регистрацию Участником прямого взаимодействия;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аправляет в личный кабинет Участника прямого взаимодействия, представившему Заявку на регистрацию в форме электронного документа, уведомление о регистрации, сформированное в соответствии с пунктом 2.26 настоящего Порядка, с указанием уникального регистраци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онного номера, присвоенного Участнику прямого взаимодействия, и уникальных регистрационных номеров, присвоенных Участникам косвенного взаимодействия, в случае их указания в Заявке на регистрацию Участником прямого взаимодействия.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Абзац четвертый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силу;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none"/>
              </w:rPr>
              <w:t xml:space="preserve">Уточнена формулировка пятого абзаца: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аправляет в личный кабинет Участника прямого взаимодействия, представившему Заявку на регистрацию в форме электронного документа, уведомление о регистрации,  с указанием уникального регистраци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онного номера, присвоенного Участнику прямого взаимодействия, и уникальных регистрационных номеров, присвоенных Участникам косвенного взаимодействия, в случае их указания в Заявке на регистрацию Участником.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направления участнику уведомления о результатах рассмотрения Заявки на регистрацию в ГИС ГМП на бумажном носителе.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Направление уведомления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использованием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 положительного результата проведения предусмотренной пунктом 2.16 настоящего Порядка проверки Заявки на внесение изменений и документов, представленных Участником прямого взаимодействия в соответствии с пунктом 2.13 настоящего Порядка, территориаль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орган Федерального казначейства в течение семи рабочих дней, следующих за днем их получения: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возвращает Участнику прямого взаимодействия один экземпляр Заявки на внесение изменений, представленной в форме документа на бумажном носителе, с отметкой территориального органа Федерального казначейства о внесении изменений;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57"/>
              <w:ind w:firstLine="540"/>
              <w:jc w:val="both"/>
              <w:spacing w:before="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направляет в личный кабинет Уча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стнику прямого взаимодействия, представившему Заявку на внесение изменений в форме электронного документа, уведомление о внесении изменений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сформированное в соответствии с пунктом 2.26 настоящего Порядка;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Абзац третий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none"/>
              </w:rPr>
              <w:t xml:space="preserve">Уточнена формулировка четвертого абзаца: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направляет в личный кабинет Уча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стнику прямого взаимодействия, представившему Заявку на внесение изменений в форме электронного документа, уведомление о внесении изменений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направления участнику уведомления о результатах рассмотрения Заявки на внесения изменений в сведения в ГИС ГМП на бумажном носителе.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Направление уведомления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использованием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 положительного результата проведения предусмотренной пунктом 2.16 настоящего Порядка проверки Заявки на прекращение доступа и документов, представленных Участником прямого взаимодействия в соответствии с пунктом 2.14 настоящего Порядка, территориал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ный орган Федерального казначейства в течение одного рабочего дня с даты ликвидации, реорганизации Участника, прекращения Участником выполнения функции (ведения деятельности), предусмотренной пунктом 2.2 настоящего Порядка, и (или) отмены (прекращения)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омочия Участника, предусмотренного пунктом 2.3 настоящего Порядка, а в случае если указанная дата на момент предоставления Участником в территориальный орган Федерального казначейства Заявки на прекращение доступа уже наступила, в течение одного рабочего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ня с даты приема Заявки на прекращение доступа: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возвращает Участнику прямого взаимодействия один экземпляр Заявки на прекращение доступа, представленной в форме документа на бумажном носителе, с отметкой территориального органа Федерального казначейства о прекращении доступа к ГИС ГМП;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направляет в личный кабинет Участнику прямого взаимодействия, представившему Заявку на прекращение доступа в форме электронного документа, уведомление о прекращении доступа, сформированное в соответствии с пунктом 2.26 настоящего Порядка.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Абзац третий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highlight w:val="none"/>
              </w:rPr>
              <w:t xml:space="preserve">Уточнена формулировка четвертого абзаца:</w:t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highlight w:val="none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направляет в личный кабинет Участнику прямого взаимодействия, представившему Заявку на прекращение доступа в форме электронного документа, уведомление о прекращении доступа.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направления участнику уведомления о результатах рассмотрения Заявки на прекращение доступа  к ГИС ГМП на бумажном носителе.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Направление уведомления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использованием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случае отрицательного результата проведения предусмотренной пунктом 2.16 настоящего Порядка проверки Заявки на регистрацию, Заявки на внесение изменений, Заявки на прекращение доступа и документов, представленных Участником прямого взаимодействия в соотве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тствии с пунктами 2.10 - 2.11, 2.13 и 2.14 настоящего Порядка, территориальный орган Федерального казначейства в срок не позднее семи рабочих дней, следующих за днем их получения:</w:t>
            </w:r>
            <w:r/>
          </w:p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представления документов в форме документов на бумажном носителе - возвращает Участнику прямого взаимодействия представленные документы;</w:t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ормирует и направляет Участнику прямого взаимодействия уведомление, содержащее информацию, позволяющую идентифицировать Заявку на регистрацию, Заявку на внесение изменений, Заявку на прекращение доступа, а также причину отказа, (далее - Уведомление) в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документа, соответствующей форме представления Участником прямого взаимодействия Заявки на регистрацию, Заявки на внесение изменений или Заявки на прекращение доступа.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i w:val="0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 xml:space="preserve">2.23.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случае отрицательного результата проведения предусмотренной пунктом 2.16 настоящего Порядка проверки территориальный орган Федерального казначейства в срок не позднее семи рабочих дней, следующих за днем получения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Заявки на регистрацию, Заявки на внесение изменений, Заявки на прекращение доступа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документов, представленных Участником прямого взаимодействия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пунктами 2.10 - 2.14 настоящего Порядка,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отказывает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 проведении предусмотренных ими действий с одновременным направлением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Участнику прямого взаимодействия уведомления, содержащего информацию, позволяющую идентифицировать отказанный документ, а также причину такого отказа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i w:val="0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i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направления участнику уведомления об отказе в регистрации в системе, внесении изменений в сведения об участнике, прекращении доступа к ГИС ГМП на бумажном носителе.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957"/>
              <w:contextualSpacing w:val="0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Направление уведомления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использованием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ешение территориального органа Федерального казначейства о присвоении уникального регистрационного номера Участнику прямого взаимодействия, о внесении изменений или о прекращении доступа к ГИС ГМП, указываемое в Заявке на регистрацию, в Заявке на внесение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зменений или в Заявке на прекращение доступа соответственно, а также Уведомление, сформированные в форме документа на бумажном носителе, подписываются руководителем (или уполномоченным им лицом) территориального органа Федерального казначейства с указанием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должности, расшифровки подписи, содержащей фамилию и инициалы, номера телефона ответственного исполнителя и даты, оформленной словесно-цифровым способом.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ведомление, сформированное территориальным органом Федерального казначейства в форме электронного документа в личном кабинете, подписывается электронной подписью руководителя (или уполномоченного им лица) территориального органа Федерального казначейства.
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Уведомления, сформированные в форме электронных документов в личном кабинет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е, подписываются электронной подписью Федерального казначей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ства (далее – оператор ГИС ГМП),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квалифицированный сертификат которой содержит указание только на оператора ГИС ГМП в качестве владельца данного сертификата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направления участнику уведомления о регистрации в системе, внесении изменений в сведения об участнике, прекращении доступа к ГИС ГМП на бумажном носителе.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Направление уведомления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 использованием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.26. Уведомление о регистрации, уведомление о внесении изменений, уведомление о прекращении доступа, сформированное территориальным органом Федерального казначейства в форме электронного документа в личном кабинете, подписывается электронной подписью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одителя (или уполномоченного им лица) территориального органа Федерального казначейства.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Признается утратившим силу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Исключение положений Порядка </w:t>
              <w:br/>
              <w:t xml:space="preserve">№ 11н в связи с изменениями, вносимыми в пункт 2.24 Порядка № 11н (пункт 8 таблицы).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окументы,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ГМП, внесении изменений в сведения или прекращении доступа к ГИС ГМП, в случае положитель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результата проведения проверки, предусмотренной пунктом 2.16 настоящего Порядка, помещаются на хранение в дело Участника, которое ведется территориальным органом Федерального казначейства.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2.27.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Документы, представляемые Участником прямого взаимодействия в территориальный орган Федерального казначейства в соответствии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 настоящим Порядком при регистрации в ГИС ГМП, внесении 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зменений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 сведения или прекращении доступа к ГИС ГМП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форме электронного документа, хранятся в электронном деле Участника ГИС ГМП.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Исключается необходимость ведения дела участника в бумажном виде.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Ведение дела участника будет осуществляться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цифрово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на основании сведений, поступивших посредством Личного кабинета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2.28.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казначейство (далее - Оператор ГИС ГМП) обеспечивает доступ Участников прямого взаимодействия к ГИС ГМП круглосуточно.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2.28.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Оператор ГИС ГМП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обеспечивает доступ Участников прямого взаимодействия к ГИС ГМП круглосуточно.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положений Порядка </w:t>
              <w:br/>
              <w:t xml:space="preserve">№ 11н в соответствие друг другу в связи с изменениями, внесенными в пункт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2.24 Порядка № 11н (пункт 8 таблицы)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Участник предоставляет в ГИС ГМП в форме электронного документа:</w:t>
            </w:r>
            <w:r/>
          </w:p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информацию, необходимую для уплаты денежных средств - путем направления извещения о начислении;</w:t>
            </w:r>
            <w:r/>
          </w:p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об исполнительном производстве - путем направления извещения об уточнении начисления;</w:t>
            </w:r>
            <w:r/>
          </w:p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информацию об уплате денежных средств - путем направления извещения о приеме к исполнению распоряжения.</w:t>
            </w:r>
            <w:r/>
          </w:p>
          <w:p>
            <w:pPr>
              <w:ind w:firstLine="284"/>
              <w:jc w:val="both"/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уточнения 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форме электронного документа.</w:t>
            </w:r>
            <w:r/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Извещения о начислении, извещения об уточнении начисления направляются в том числе с использованием порталов государственных и муниципальных услуг, иных государственных информационных систем.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4.1. Участник предоставляет в ГИС ГМП: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информацию, необходимую для уплаты денежных средств: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путем направления извещения о начислении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форме электронного документа;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ind w:left="0" w:firstLine="0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     - путем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путем формирования в личном кабинете сведений о реквизитах в случаях, установленных пунктом 4.1.(1). Порядка;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информацию об исполнительном производстве - путем направления извещения об уточнении начисления;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информацию об уплате денежных средств - путем направления извещения о приеме к исполнению распоряжения.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случае уточнения ранее предоставленного в ГИС ГМП извещения о начислении, извещения о приеме к исполнению распоряжения Участник направляет извещение об уточнении начисления, извещение об уточнении распоряжения в форме электронного документа.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Извещения о начислении, извещения об уточнении начисления направляются в том числе с использованием порталов государственных и муниципальных услуг, иных государственных информационных систем.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4.1.(1). Информация, необходимая для уплаты денежных средств (ее уточнение), предоставляется Участником в ГИС ГМП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путем формирования в личном кабинете сведений о реквизитах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случае приема платежей в уплату денежных средств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использованием сервиса быстрых платежей платежной системы Банка России (далее – СБП) с применением реквизитов перевода, переданных получателем средств плательщику в электронной форме и представленных в том числе в виде кода.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   Приказом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устанавливается новый способ передачи информации, необходимой для уплаты денежных средств, в случае приема платежей </w:t>
              <w:br/>
              <w:t xml:space="preserve">в уплату денежных средств с 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спользованием системы быстрых платежей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highlight w:val="non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4.6. Получение Участником информации, необходимой для уплаты денежных средств, осуществляется исключительно в целях предоставления указанной информации плательщику и составления распоряжения о переводе денежных средств.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4.6. Получение Участником информации, необходимой для уплаты денежных средств, осуществляется исключительно в целях предоставления указанной информации плательщику и составления распоряжения о переводе денежных средств.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При осуществлении перевода денежных средств с использованием СБП в случаях, предусмотренных подпунктом 5.6 пункта 5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приложения № 1 </w:t>
              <w:br/>
              <w:t xml:space="preserve">к Положению Банка России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24 сентября 2020 г. № 732-П «О платежной системе Банка России»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(зарегистрировано </w:t>
              <w:br/>
              <w:t xml:space="preserve">в Министерстве юстиции Российской Федерации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ноября 2020 г., регистрационный № 60810)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57"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участник получает реквизиты перевода,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представленные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том числе в виде кода, через ГИС ГМП для представления плательщику;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57"/>
              <w:ind w:firstLine="709"/>
              <w:jc w:val="both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участник,  являющийся участником СБП, получает информацию, необходимую для уплаты денежных средств, из ГИС ГМП через операционный и платежный клиринговый центр СБП.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pStyle w:val="952"/>
              <w:contextualSpacing w:val="0"/>
              <w:ind w:left="0" w:firstLine="0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    Приказом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устанавливается новый способ передачи информации, необходимой для уплаты денежных средств, в случае приема платежей </w:t>
              <w:br/>
              <w:t xml:space="preserve">в уплату денежных средств с 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спользованием системы быстрых платежей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highlight w:val="none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highlight w:val="none"/>
                <w:lang w:val="ru-RU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 w:val="0"/>
              <w:ind w:left="0" w:firstLine="283"/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r>
          </w:p>
        </w:tc>
      </w:tr>
      <w:tr>
        <w:tblPrEx/>
        <w:trPr>
          <w:trHeight w:val="20"/>
        </w:trPr>
        <w:tc>
          <w:tcPr>
            <w:tcW w:w="6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ind w:firstLine="709"/>
              <w:jc w:val="both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Фиксация времени доступности ГИС ГМП и времени поступления в ГИС ГМП информации, необходимой для уплаты денежных средств, и информации об уплате денежных средств.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40" w:type="dxa"/>
            <w:vMerge w:val="restart"/>
            <w:textDirection w:val="lrTb"/>
            <w:noWrap w:val="false"/>
          </w:tcPr>
          <w:p>
            <w:pPr>
              <w:ind w:firstLine="284"/>
              <w:jc w:val="both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Порядо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фиксации времени доступности ГИС ГМП, а также времени поступления в ГИС ГМП информации, необходимой для уплаты денежных средств, и информации об уплате денежных средств.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039" w:type="dxa"/>
            <w:vMerge w:val="restart"/>
            <w:textDirection w:val="lrTb"/>
            <w:noWrap w:val="false"/>
          </w:tcPr>
          <w:p>
            <w:pPr>
              <w:contextualSpacing w:val="0"/>
              <w:ind w:firstLine="283"/>
              <w:jc w:val="both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положений Порядка № 11н в соответствие положениям пункта 4 части 3 статьи 21.3 Федерального закона от 27 июля 2010 г. № 210-ФЗ «Об организации предоставления государственных и муниципальных услуг».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line="240" w:lineRule="auto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sectPr>
      <w:headerReference w:type="default" r:id="rId9"/>
      <w:footnotePr/>
      <w:endnotePr/>
      <w:type w:val="nextPage"/>
      <w:pgSz w:w="16838" w:h="11906" w:orient="landscape"/>
      <w:pgMar w:top="851" w:right="1134" w:bottom="850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52"/>
        <w:ind w:left="0"/>
        <w:jc w:val="both"/>
        <w:spacing w:before="0" w:after="0" w:afterAutospacing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eastAsia="Times New Roman" w:cs="Times New Roman"/>
          <w:sz w:val="20"/>
          <w:szCs w:val="20"/>
          <w:vertAlign w:val="superscript"/>
          <w:lang w:val="ru-RU"/>
        </w:rPr>
        <w:footnoteRef/>
      </w:r>
      <w:r>
        <w:rPr>
          <w:rFonts w:ascii="Times New Roman" w:hAnsi="Times New Roman" w:eastAsia="Times New Roman" w:cs="Times New Roman"/>
          <w:sz w:val="20"/>
          <w:lang w:val="ru-RU"/>
        </w:rPr>
        <w:t xml:space="preserve"> Проект постановления Правительства Российской Федерации «О</w:t>
      </w:r>
      <w:r>
        <w:rPr>
          <w:rFonts w:ascii="Times New Roman" w:hAnsi="Times New Roman" w:eastAsia="Times New Roman" w:cs="Times New Roman"/>
          <w:sz w:val="20"/>
          <w:lang w:val="ru-RU"/>
        </w:rPr>
        <w:t xml:space="preserve"> внесении изменений в Положение об организации и проведении продажи государственного или муниципального имущества в электронной форме, утвержденное постановлением Правительства Российской Федерации от 27.08.2012 № 860 (ID проекта № 01/01/12-22/00134586).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</w:footnote>
  <w:footnote w:id="3">
    <w:p>
      <w:pPr>
        <w:pStyle w:val="952"/>
        <w:ind w:left="0"/>
        <w:jc w:val="both"/>
        <w:spacing w:before="0" w:after="20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eastAsia="Times New Roman" w:cs="Times New Roman"/>
          <w:sz w:val="20"/>
          <w:vertAlign w:val="superscript"/>
          <w:lang w:val="ru-RU"/>
        </w:rPr>
        <w:footnoteRef/>
      </w:r>
      <w:r>
        <w:rPr>
          <w:rFonts w:ascii="Times New Roman" w:hAnsi="Times New Roman" w:eastAsia="Times New Roman" w:cs="Times New Roman"/>
          <w:sz w:val="20"/>
          <w:lang w:val="ru-RU"/>
        </w:rPr>
        <w:t xml:space="preserve"> Проект постановления Правительства Российской Федерации «О внесении изменений в </w:t>
      </w:r>
      <w:r>
        <w:rPr>
          <w:rFonts w:ascii="Times New Roman" w:hAnsi="Times New Roman" w:eastAsia="Times New Roman" w:cs="Times New Roman"/>
          <w:sz w:val="20"/>
          <w:lang w:val="ru-RU"/>
        </w:rPr>
      </w:r>
      <w:r>
        <w:rPr>
          <w:rFonts w:ascii="Times New Roman" w:hAnsi="Times New Roman" w:eastAsia="Times New Roman" w:cs="Times New Roman"/>
          <w:sz w:val="20"/>
          <w:lang w:val="ru-RU"/>
        </w:rPr>
        <w:t xml:space="preserve">Положение о порядке реализации имущества, о</w:t>
      </w:r>
      <w:r>
        <w:rPr>
          <w:rFonts w:ascii="Times New Roman" w:hAnsi="Times New Roman" w:eastAsia="Times New Roman" w:cs="Times New Roman"/>
          <w:sz w:val="20"/>
          <w:lang w:val="ru-RU"/>
        </w:rPr>
        <w:t xml:space="preserve">бращенного в собственность государства, вещественных доказательств, изъятых вещей, а также задержанных таможенными органами товаров, утвержденное постановлением Правительства Российской Федерации от 30.09.2015 № 1041</w:t>
      </w:r>
      <w:r>
        <w:rPr>
          <w:rFonts w:ascii="Times New Roman" w:hAnsi="Times New Roman" w:eastAsia="Times New Roman" w:cs="Times New Roman"/>
          <w:sz w:val="20"/>
          <w:lang w:val="ru-RU"/>
        </w:rPr>
        <w:t xml:space="preserve">» (ID проекта № 01/01/12-22/00134426).</w:t>
      </w: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271511784"/>
      <w:docPartObj>
        <w:docPartGallery w:val="Page Numbers (Top of Page)"/>
        <w:docPartUnique w:val="true"/>
      </w:docPartObj>
      <w:rPr>
        <w:rFonts w:ascii="Times New Roman" w:hAnsi="Times New Roman" w:cs="Times New Roman"/>
        <w:sz w:val="24"/>
      </w:rPr>
    </w:sdtPr>
    <w:sdtContent>
      <w:p>
        <w:pPr>
          <w:pStyle w:val="962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2</w:t>
        </w:r>
        <w:r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</w:r>
        <w:r>
          <w:rPr>
            <w:rFonts w:ascii="Times New Roman" w:hAnsi="Times New Roman" w:cs="Times New Roman"/>
            <w:sz w:val="24"/>
          </w:rPr>
        </w:r>
      </w:p>
    </w:sdtContent>
  </w:sdt>
  <w:p>
    <w:pPr>
      <w:pStyle w:val="96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3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1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3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1">
    <w:name w:val="Heading 1"/>
    <w:basedOn w:val="952"/>
    <w:next w:val="952"/>
    <w:link w:val="7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82">
    <w:name w:val="Heading 1 Char"/>
    <w:basedOn w:val="953"/>
    <w:link w:val="781"/>
    <w:uiPriority w:val="9"/>
    <w:rPr>
      <w:rFonts w:ascii="Arial" w:hAnsi="Arial" w:eastAsia="Arial" w:cs="Arial"/>
      <w:sz w:val="40"/>
      <w:szCs w:val="40"/>
    </w:rPr>
  </w:style>
  <w:style w:type="paragraph" w:styleId="783">
    <w:name w:val="Heading 2"/>
    <w:basedOn w:val="952"/>
    <w:next w:val="952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4">
    <w:name w:val="Heading 2 Char"/>
    <w:basedOn w:val="953"/>
    <w:link w:val="783"/>
    <w:uiPriority w:val="9"/>
    <w:rPr>
      <w:rFonts w:ascii="Arial" w:hAnsi="Arial" w:eastAsia="Arial" w:cs="Arial"/>
      <w:sz w:val="34"/>
    </w:rPr>
  </w:style>
  <w:style w:type="paragraph" w:styleId="785">
    <w:name w:val="Heading 3"/>
    <w:basedOn w:val="952"/>
    <w:next w:val="952"/>
    <w:link w:val="7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6">
    <w:name w:val="Heading 3 Char"/>
    <w:basedOn w:val="953"/>
    <w:link w:val="785"/>
    <w:uiPriority w:val="9"/>
    <w:rPr>
      <w:rFonts w:ascii="Arial" w:hAnsi="Arial" w:eastAsia="Arial" w:cs="Arial"/>
      <w:sz w:val="30"/>
      <w:szCs w:val="30"/>
    </w:rPr>
  </w:style>
  <w:style w:type="paragraph" w:styleId="787">
    <w:name w:val="Heading 4"/>
    <w:basedOn w:val="952"/>
    <w:next w:val="952"/>
    <w:link w:val="7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8">
    <w:name w:val="Heading 4 Char"/>
    <w:basedOn w:val="953"/>
    <w:link w:val="787"/>
    <w:uiPriority w:val="9"/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952"/>
    <w:next w:val="952"/>
    <w:link w:val="7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0">
    <w:name w:val="Heading 5 Char"/>
    <w:basedOn w:val="953"/>
    <w:link w:val="789"/>
    <w:uiPriority w:val="9"/>
    <w:rPr>
      <w:rFonts w:ascii="Arial" w:hAnsi="Arial" w:eastAsia="Arial" w:cs="Arial"/>
      <w:b/>
      <w:bCs/>
      <w:sz w:val="24"/>
      <w:szCs w:val="24"/>
    </w:rPr>
  </w:style>
  <w:style w:type="paragraph" w:styleId="791">
    <w:name w:val="Heading 6"/>
    <w:basedOn w:val="952"/>
    <w:next w:val="952"/>
    <w:link w:val="7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2">
    <w:name w:val="Heading 6 Char"/>
    <w:basedOn w:val="953"/>
    <w:link w:val="791"/>
    <w:uiPriority w:val="9"/>
    <w:rPr>
      <w:rFonts w:ascii="Arial" w:hAnsi="Arial" w:eastAsia="Arial" w:cs="Arial"/>
      <w:b/>
      <w:bCs/>
      <w:sz w:val="22"/>
      <w:szCs w:val="22"/>
    </w:rPr>
  </w:style>
  <w:style w:type="paragraph" w:styleId="793">
    <w:name w:val="Heading 7"/>
    <w:basedOn w:val="952"/>
    <w:next w:val="952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4">
    <w:name w:val="Heading 7 Char"/>
    <w:basedOn w:val="953"/>
    <w:link w:val="7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5">
    <w:name w:val="Heading 8"/>
    <w:basedOn w:val="952"/>
    <w:next w:val="952"/>
    <w:link w:val="7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6">
    <w:name w:val="Heading 8 Char"/>
    <w:basedOn w:val="953"/>
    <w:link w:val="795"/>
    <w:uiPriority w:val="9"/>
    <w:rPr>
      <w:rFonts w:ascii="Arial" w:hAnsi="Arial" w:eastAsia="Arial" w:cs="Arial"/>
      <w:i/>
      <w:iCs/>
      <w:sz w:val="22"/>
      <w:szCs w:val="22"/>
    </w:rPr>
  </w:style>
  <w:style w:type="paragraph" w:styleId="797">
    <w:name w:val="Heading 9"/>
    <w:basedOn w:val="952"/>
    <w:next w:val="952"/>
    <w:link w:val="7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8">
    <w:name w:val="Heading 9 Char"/>
    <w:basedOn w:val="953"/>
    <w:link w:val="797"/>
    <w:uiPriority w:val="9"/>
    <w:rPr>
      <w:rFonts w:ascii="Arial" w:hAnsi="Arial" w:eastAsia="Arial" w:cs="Arial"/>
      <w:i/>
      <w:iCs/>
      <w:sz w:val="21"/>
      <w:szCs w:val="21"/>
    </w:rPr>
  </w:style>
  <w:style w:type="paragraph" w:styleId="799">
    <w:name w:val="No Spacing"/>
    <w:uiPriority w:val="1"/>
    <w:qFormat/>
    <w:pPr>
      <w:spacing w:before="0" w:after="0" w:line="240" w:lineRule="auto"/>
    </w:pPr>
  </w:style>
  <w:style w:type="paragraph" w:styleId="800">
    <w:name w:val="Title"/>
    <w:basedOn w:val="952"/>
    <w:next w:val="952"/>
    <w:link w:val="80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1">
    <w:name w:val="Title Char"/>
    <w:basedOn w:val="953"/>
    <w:link w:val="800"/>
    <w:uiPriority w:val="10"/>
    <w:rPr>
      <w:sz w:val="48"/>
      <w:szCs w:val="48"/>
    </w:rPr>
  </w:style>
  <w:style w:type="paragraph" w:styleId="802">
    <w:name w:val="Subtitle"/>
    <w:basedOn w:val="952"/>
    <w:next w:val="952"/>
    <w:link w:val="803"/>
    <w:uiPriority w:val="11"/>
    <w:qFormat/>
    <w:pPr>
      <w:spacing w:before="200" w:after="200"/>
    </w:pPr>
    <w:rPr>
      <w:sz w:val="24"/>
      <w:szCs w:val="24"/>
    </w:rPr>
  </w:style>
  <w:style w:type="character" w:styleId="803">
    <w:name w:val="Subtitle Char"/>
    <w:basedOn w:val="953"/>
    <w:link w:val="802"/>
    <w:uiPriority w:val="11"/>
    <w:rPr>
      <w:sz w:val="24"/>
      <w:szCs w:val="24"/>
    </w:rPr>
  </w:style>
  <w:style w:type="paragraph" w:styleId="804">
    <w:name w:val="Quote"/>
    <w:basedOn w:val="952"/>
    <w:next w:val="952"/>
    <w:link w:val="805"/>
    <w:uiPriority w:val="29"/>
    <w:qFormat/>
    <w:pPr>
      <w:ind w:left="720" w:right="720"/>
    </w:pPr>
    <w:rPr>
      <w:i/>
    </w:rPr>
  </w:style>
  <w:style w:type="character" w:styleId="805">
    <w:name w:val="Quote Char"/>
    <w:link w:val="804"/>
    <w:uiPriority w:val="29"/>
    <w:rPr>
      <w:i/>
    </w:rPr>
  </w:style>
  <w:style w:type="paragraph" w:styleId="806">
    <w:name w:val="Intense Quote"/>
    <w:basedOn w:val="952"/>
    <w:next w:val="952"/>
    <w:link w:val="8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7">
    <w:name w:val="Intense Quote Char"/>
    <w:link w:val="806"/>
    <w:uiPriority w:val="30"/>
    <w:rPr>
      <w:i/>
    </w:rPr>
  </w:style>
  <w:style w:type="character" w:styleId="808">
    <w:name w:val="Header Char"/>
    <w:basedOn w:val="953"/>
    <w:link w:val="962"/>
    <w:uiPriority w:val="99"/>
  </w:style>
  <w:style w:type="character" w:styleId="809">
    <w:name w:val="Footer Char"/>
    <w:basedOn w:val="953"/>
    <w:link w:val="964"/>
    <w:uiPriority w:val="99"/>
  </w:style>
  <w:style w:type="paragraph" w:styleId="810">
    <w:name w:val="Caption"/>
    <w:basedOn w:val="952"/>
    <w:next w:val="9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1">
    <w:name w:val="Caption Char"/>
    <w:basedOn w:val="810"/>
    <w:link w:val="964"/>
    <w:uiPriority w:val="99"/>
  </w:style>
  <w:style w:type="table" w:styleId="812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3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4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6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8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0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1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42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3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4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5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6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0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51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52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53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4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5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6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7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8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9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0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5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6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7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8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9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0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1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0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1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2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3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4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5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6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7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8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9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0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11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12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13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14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15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16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7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18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9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0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1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2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23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4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25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6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7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8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29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30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1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32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3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4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5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6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37">
    <w:name w:val="Footnote Text Char"/>
    <w:link w:val="973"/>
    <w:uiPriority w:val="99"/>
    <w:rPr>
      <w:sz w:val="18"/>
    </w:rPr>
  </w:style>
  <w:style w:type="paragraph" w:styleId="938">
    <w:name w:val="endnote text"/>
    <w:basedOn w:val="952"/>
    <w:link w:val="939"/>
    <w:uiPriority w:val="99"/>
    <w:semiHidden/>
    <w:unhideWhenUsed/>
    <w:pPr>
      <w:spacing w:after="0" w:line="240" w:lineRule="auto"/>
    </w:pPr>
    <w:rPr>
      <w:sz w:val="20"/>
    </w:rPr>
  </w:style>
  <w:style w:type="character" w:styleId="939">
    <w:name w:val="Endnote Text Char"/>
    <w:link w:val="938"/>
    <w:uiPriority w:val="99"/>
    <w:rPr>
      <w:sz w:val="20"/>
    </w:rPr>
  </w:style>
  <w:style w:type="character" w:styleId="940">
    <w:name w:val="endnote reference"/>
    <w:basedOn w:val="953"/>
    <w:uiPriority w:val="99"/>
    <w:semiHidden/>
    <w:unhideWhenUsed/>
    <w:rPr>
      <w:vertAlign w:val="superscript"/>
    </w:rPr>
  </w:style>
  <w:style w:type="paragraph" w:styleId="941">
    <w:name w:val="toc 1"/>
    <w:basedOn w:val="952"/>
    <w:next w:val="952"/>
    <w:uiPriority w:val="39"/>
    <w:unhideWhenUsed/>
    <w:pPr>
      <w:ind w:left="0" w:right="0" w:firstLine="0"/>
      <w:spacing w:after="57"/>
    </w:pPr>
  </w:style>
  <w:style w:type="paragraph" w:styleId="942">
    <w:name w:val="toc 2"/>
    <w:basedOn w:val="952"/>
    <w:next w:val="952"/>
    <w:uiPriority w:val="39"/>
    <w:unhideWhenUsed/>
    <w:pPr>
      <w:ind w:left="283" w:right="0" w:firstLine="0"/>
      <w:spacing w:after="57"/>
    </w:pPr>
  </w:style>
  <w:style w:type="paragraph" w:styleId="943">
    <w:name w:val="toc 3"/>
    <w:basedOn w:val="952"/>
    <w:next w:val="952"/>
    <w:uiPriority w:val="39"/>
    <w:unhideWhenUsed/>
    <w:pPr>
      <w:ind w:left="567" w:right="0" w:firstLine="0"/>
      <w:spacing w:after="57"/>
    </w:pPr>
  </w:style>
  <w:style w:type="paragraph" w:styleId="944">
    <w:name w:val="toc 4"/>
    <w:basedOn w:val="952"/>
    <w:next w:val="952"/>
    <w:uiPriority w:val="39"/>
    <w:unhideWhenUsed/>
    <w:pPr>
      <w:ind w:left="850" w:right="0" w:firstLine="0"/>
      <w:spacing w:after="57"/>
    </w:pPr>
  </w:style>
  <w:style w:type="paragraph" w:styleId="945">
    <w:name w:val="toc 5"/>
    <w:basedOn w:val="952"/>
    <w:next w:val="952"/>
    <w:uiPriority w:val="39"/>
    <w:unhideWhenUsed/>
    <w:pPr>
      <w:ind w:left="1134" w:right="0" w:firstLine="0"/>
      <w:spacing w:after="57"/>
    </w:pPr>
  </w:style>
  <w:style w:type="paragraph" w:styleId="946">
    <w:name w:val="toc 6"/>
    <w:basedOn w:val="952"/>
    <w:next w:val="952"/>
    <w:uiPriority w:val="39"/>
    <w:unhideWhenUsed/>
    <w:pPr>
      <w:ind w:left="1417" w:right="0" w:firstLine="0"/>
      <w:spacing w:after="57"/>
    </w:pPr>
  </w:style>
  <w:style w:type="paragraph" w:styleId="947">
    <w:name w:val="toc 7"/>
    <w:basedOn w:val="952"/>
    <w:next w:val="952"/>
    <w:uiPriority w:val="39"/>
    <w:unhideWhenUsed/>
    <w:pPr>
      <w:ind w:left="1701" w:right="0" w:firstLine="0"/>
      <w:spacing w:after="57"/>
    </w:pPr>
  </w:style>
  <w:style w:type="paragraph" w:styleId="948">
    <w:name w:val="toc 8"/>
    <w:basedOn w:val="952"/>
    <w:next w:val="952"/>
    <w:uiPriority w:val="39"/>
    <w:unhideWhenUsed/>
    <w:pPr>
      <w:ind w:left="1984" w:right="0" w:firstLine="0"/>
      <w:spacing w:after="57"/>
    </w:pPr>
  </w:style>
  <w:style w:type="paragraph" w:styleId="949">
    <w:name w:val="toc 9"/>
    <w:basedOn w:val="952"/>
    <w:next w:val="952"/>
    <w:uiPriority w:val="39"/>
    <w:unhideWhenUsed/>
    <w:pPr>
      <w:ind w:left="2268" w:right="0" w:firstLine="0"/>
      <w:spacing w:after="57"/>
    </w:pPr>
  </w:style>
  <w:style w:type="paragraph" w:styleId="950">
    <w:name w:val="TOC Heading"/>
    <w:uiPriority w:val="39"/>
    <w:unhideWhenUsed/>
  </w:style>
  <w:style w:type="paragraph" w:styleId="951">
    <w:name w:val="table of figures"/>
    <w:basedOn w:val="952"/>
    <w:next w:val="952"/>
    <w:uiPriority w:val="99"/>
    <w:unhideWhenUsed/>
    <w:pPr>
      <w:spacing w:after="0" w:afterAutospacing="0"/>
    </w:pPr>
  </w:style>
  <w:style w:type="paragraph" w:styleId="952" w:default="1">
    <w:name w:val="Normal"/>
    <w:qFormat/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table" w:styleId="956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7" w:customStyle="1">
    <w:name w:val="ConsPlusNormal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958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59">
    <w:name w:val="Hyperlink"/>
    <w:basedOn w:val="953"/>
    <w:uiPriority w:val="99"/>
    <w:unhideWhenUsed/>
    <w:rPr>
      <w:rFonts w:cs="Times New Roman"/>
      <w:color w:val="0000ff"/>
      <w:u w:val="single"/>
    </w:rPr>
  </w:style>
  <w:style w:type="paragraph" w:styleId="960">
    <w:name w:val="Balloon Text"/>
    <w:basedOn w:val="952"/>
    <w:link w:val="9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61" w:customStyle="1">
    <w:name w:val="Текст выноски Знак"/>
    <w:basedOn w:val="953"/>
    <w:link w:val="960"/>
    <w:uiPriority w:val="99"/>
    <w:semiHidden/>
    <w:rPr>
      <w:rFonts w:ascii="Segoe UI" w:hAnsi="Segoe UI" w:cs="Segoe UI"/>
      <w:sz w:val="18"/>
      <w:szCs w:val="18"/>
    </w:rPr>
  </w:style>
  <w:style w:type="paragraph" w:styleId="962">
    <w:name w:val="Header"/>
    <w:basedOn w:val="952"/>
    <w:link w:val="96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3" w:customStyle="1">
    <w:name w:val="Верхний колонтитул Знак"/>
    <w:basedOn w:val="953"/>
    <w:link w:val="962"/>
    <w:uiPriority w:val="99"/>
  </w:style>
  <w:style w:type="paragraph" w:styleId="964">
    <w:name w:val="Footer"/>
    <w:basedOn w:val="952"/>
    <w:link w:val="96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5" w:customStyle="1">
    <w:name w:val="Нижний колонтитул Знак"/>
    <w:basedOn w:val="953"/>
    <w:link w:val="964"/>
    <w:uiPriority w:val="99"/>
  </w:style>
  <w:style w:type="character" w:styleId="966">
    <w:name w:val="annotation reference"/>
    <w:basedOn w:val="953"/>
    <w:unhideWhenUsed/>
    <w:rPr>
      <w:sz w:val="16"/>
      <w:szCs w:val="16"/>
    </w:rPr>
  </w:style>
  <w:style w:type="paragraph" w:styleId="967">
    <w:name w:val="annotation text"/>
    <w:basedOn w:val="952"/>
    <w:link w:val="968"/>
    <w:unhideWhenUsed/>
    <w:pPr>
      <w:spacing w:line="240" w:lineRule="auto"/>
    </w:pPr>
    <w:rPr>
      <w:sz w:val="20"/>
      <w:szCs w:val="20"/>
    </w:rPr>
  </w:style>
  <w:style w:type="character" w:styleId="968" w:customStyle="1">
    <w:name w:val="Текст примечания Знак"/>
    <w:basedOn w:val="953"/>
    <w:link w:val="967"/>
    <w:rPr>
      <w:sz w:val="20"/>
      <w:szCs w:val="20"/>
    </w:rPr>
  </w:style>
  <w:style w:type="paragraph" w:styleId="969">
    <w:name w:val="annotation subject"/>
    <w:basedOn w:val="967"/>
    <w:next w:val="967"/>
    <w:link w:val="970"/>
    <w:uiPriority w:val="99"/>
    <w:semiHidden/>
    <w:unhideWhenUsed/>
    <w:rPr>
      <w:b/>
      <w:bCs/>
    </w:rPr>
  </w:style>
  <w:style w:type="character" w:styleId="970" w:customStyle="1">
    <w:name w:val="Тема примечания Знак"/>
    <w:basedOn w:val="968"/>
    <w:link w:val="969"/>
    <w:uiPriority w:val="99"/>
    <w:semiHidden/>
    <w:rPr>
      <w:b/>
      <w:bCs/>
      <w:sz w:val="20"/>
      <w:szCs w:val="20"/>
    </w:rPr>
  </w:style>
  <w:style w:type="paragraph" w:styleId="971" w:customStyle="1">
    <w:name w:val="s_1"/>
    <w:basedOn w:val="95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2">
    <w:name w:val="List Paragraph"/>
    <w:basedOn w:val="952"/>
    <w:uiPriority w:val="34"/>
    <w:qFormat/>
    <w:pPr>
      <w:contextualSpacing/>
      <w:ind w:left="720"/>
    </w:pPr>
  </w:style>
  <w:style w:type="paragraph" w:styleId="973">
    <w:name w:val="footnote text"/>
    <w:basedOn w:val="952"/>
    <w:link w:val="97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74" w:customStyle="1">
    <w:name w:val="Текст сноски Знак"/>
    <w:basedOn w:val="953"/>
    <w:link w:val="973"/>
    <w:uiPriority w:val="99"/>
    <w:semiHidden/>
    <w:rPr>
      <w:sz w:val="20"/>
      <w:szCs w:val="20"/>
    </w:rPr>
  </w:style>
  <w:style w:type="character" w:styleId="975">
    <w:name w:val="footnote reference"/>
    <w:basedOn w:val="953"/>
    <w:uiPriority w:val="99"/>
    <w:semiHidden/>
    <w:unhideWhenUsed/>
    <w:rPr>
      <w:vertAlign w:val="superscript"/>
    </w:rPr>
  </w:style>
  <w:style w:type="paragraph" w:styleId="976" w:customStyle="1">
    <w:name w:val="ConsPlusTitle"/>
    <w:next w:val="910"/>
    <w:link w:val="90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www.cbr.ru/psystem/registers/" TargetMode="External"/><Relationship Id="rId12" Type="http://schemas.openxmlformats.org/officeDocument/2006/relationships/hyperlink" Target="https://www.cbr.ru/psystem/registers/" TargetMode="External"/><Relationship Id="rId13" Type="http://schemas.openxmlformats.org/officeDocument/2006/relationships/hyperlink" Target="https://www.cbr.ru/psystem/register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6B999-FBF0-4F16-9ABE-741BC0D3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Нарижная Любовь Сергеевна</dc:creator>
  <cp:revision>51</cp:revision>
  <dcterms:created xsi:type="dcterms:W3CDTF">2022-12-15T14:56:00Z</dcterms:created>
  <dcterms:modified xsi:type="dcterms:W3CDTF">2025-04-09T17:08:48Z</dcterms:modified>
</cp:coreProperties>
</file>